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2F1084" w14:textId="77777777" w:rsidR="00263DC6" w:rsidRDefault="00263DC6" w:rsidP="00263DC6">
      <w:pPr>
        <w:pStyle w:val="artifact-docx-previewheading1"/>
        <w:spacing w:before="0" w:beforeAutospacing="0" w:after="0" w:afterAutospacing="0"/>
        <w:jc w:val="both"/>
        <w:rPr>
          <w:rFonts w:ascii="Aptos" w:hAnsi="Aptos"/>
          <w:color w:val="000000"/>
          <w:sz w:val="22"/>
          <w:szCs w:val="22"/>
        </w:rPr>
      </w:pPr>
      <w:r>
        <w:rPr>
          <w:rFonts w:ascii="Calibri" w:hAnsi="Calibri" w:cs="Calibri"/>
          <w:b/>
          <w:bCs/>
          <w:color w:val="365F91"/>
          <w:sz w:val="28"/>
          <w:szCs w:val="28"/>
        </w:rPr>
        <w:t>Abstract</w:t>
      </w:r>
    </w:p>
    <w:p w14:paraId="41999502" w14:textId="77777777" w:rsidR="00263DC6" w:rsidRDefault="00263DC6" w:rsidP="00263DC6">
      <w:pPr>
        <w:pStyle w:val="NormalWeb"/>
        <w:spacing w:before="0" w:beforeAutospacing="0" w:after="0" w:afterAutospacing="0"/>
        <w:jc w:val="both"/>
        <w:rPr>
          <w:rFonts w:ascii="Aptos" w:hAnsi="Aptos"/>
          <w:color w:val="000000"/>
          <w:sz w:val="22"/>
          <w:szCs w:val="22"/>
        </w:rPr>
      </w:pPr>
      <w:r>
        <w:rPr>
          <w:rFonts w:ascii="Cambria" w:hAnsi="Cambria"/>
          <w:color w:val="000000"/>
          <w:sz w:val="22"/>
          <w:szCs w:val="22"/>
        </w:rPr>
        <w:t xml:space="preserve">This article examines how internal military career processes shape women’s participation in United Nations peacekeeping through a qualitative study of the Kenya </w:t>
      </w:r>
      <w:proofErr w:type="spellStart"/>
      <w:r>
        <w:rPr>
          <w:rFonts w:ascii="Cambria" w:hAnsi="Cambria"/>
          <w:color w:val="000000"/>
          <w:sz w:val="22"/>
          <w:szCs w:val="22"/>
        </w:rPr>
        <w:t>Defence</w:t>
      </w:r>
      <w:proofErr w:type="spellEnd"/>
      <w:r>
        <w:rPr>
          <w:rFonts w:ascii="Cambria" w:hAnsi="Cambria"/>
          <w:color w:val="000000"/>
          <w:sz w:val="22"/>
          <w:szCs w:val="22"/>
        </w:rPr>
        <w:t xml:space="preserve"> Forces. Drawing on semi-structured interviews with 15 military personnel, it traces recruitment, pre-training assessment, training, role allocation, operational experience, and deployment as connected stages rather than treating deployment as an isolated decision. Guided by Acker’s theory of gendered organizations, the article develops institutional gatekeeping to explain how formally neutral judgments about readiness, suitability, availability, risk, and protection may produce gendered effects. The findings show that women are recognized as capable professionals and valued in medical, administrative, logistical, liaison, and community-facing functions. However, protective reasoning, assumptions about caregiving and availability, and the association of combat with masculinity may narrow access to operational experience that later supports deployment and command. The argument is not that all women should serve in frontline roles or that support functions are less valuable. It is that qualified and willing personnel should be assessed individually and have meaningful access to different career pathways. The article contributes to scholarship on gender and peacekeeping by locating deployment outcomes within the cumulative personnel decisions of a troop-contributing military.</w:t>
      </w:r>
    </w:p>
    <w:p w14:paraId="3BF64DB6" w14:textId="77777777" w:rsidR="00263DC6" w:rsidRDefault="00263DC6" w:rsidP="00263DC6">
      <w:pPr>
        <w:pStyle w:val="NormalWeb"/>
        <w:spacing w:before="0" w:beforeAutospacing="0" w:after="0" w:afterAutospacing="0"/>
        <w:jc w:val="both"/>
        <w:rPr>
          <w:rFonts w:ascii="Aptos" w:hAnsi="Aptos"/>
          <w:color w:val="000000"/>
          <w:sz w:val="22"/>
          <w:szCs w:val="22"/>
        </w:rPr>
      </w:pPr>
      <w:r>
        <w:rPr>
          <w:rFonts w:ascii="Cambria" w:hAnsi="Cambria"/>
          <w:b/>
          <w:bCs/>
          <w:color w:val="000000"/>
          <w:sz w:val="22"/>
          <w:szCs w:val="22"/>
        </w:rPr>
        <w:t xml:space="preserve">Keywords: </w:t>
      </w:r>
      <w:r>
        <w:rPr>
          <w:rFonts w:ascii="Cambria" w:hAnsi="Cambria"/>
          <w:color w:val="000000"/>
          <w:sz w:val="22"/>
          <w:szCs w:val="22"/>
        </w:rPr>
        <w:t xml:space="preserve">gendered organizations; institutional gatekeeping; Kenya </w:t>
      </w:r>
      <w:proofErr w:type="spellStart"/>
      <w:r>
        <w:rPr>
          <w:rFonts w:ascii="Cambria" w:hAnsi="Cambria"/>
          <w:color w:val="000000"/>
          <w:sz w:val="22"/>
          <w:szCs w:val="22"/>
        </w:rPr>
        <w:t>Defence</w:t>
      </w:r>
      <w:proofErr w:type="spellEnd"/>
      <w:r>
        <w:rPr>
          <w:rFonts w:ascii="Cambria" w:hAnsi="Cambria"/>
          <w:color w:val="000000"/>
          <w:sz w:val="22"/>
          <w:szCs w:val="22"/>
        </w:rPr>
        <w:t xml:space="preserve"> Forces; UN peacekeeping; military careers; women peacekeepers</w:t>
      </w:r>
    </w:p>
    <w:p w14:paraId="39A19209" w14:textId="77777777" w:rsidR="008314A7" w:rsidRDefault="008314A7" w:rsidP="008314A7">
      <w:pPr>
        <w:pStyle w:val="artifact-docx-previewtitle"/>
        <w:shd w:val="clear" w:color="auto" w:fill="FFFFFF"/>
        <w:spacing w:before="0" w:beforeAutospacing="0" w:after="0" w:afterAutospacing="0"/>
        <w:jc w:val="center"/>
        <w:rPr>
          <w:color w:val="000000"/>
          <w:sz w:val="27"/>
          <w:szCs w:val="27"/>
        </w:rPr>
      </w:pPr>
      <w:r>
        <w:rPr>
          <w:rFonts w:ascii="Calibri" w:hAnsi="Calibri" w:cs="Calibri"/>
          <w:b/>
          <w:bCs/>
          <w:color w:val="17365D"/>
          <w:sz w:val="52"/>
          <w:szCs w:val="52"/>
        </w:rPr>
        <w:t>Introduction and Theoretical Framework</w:t>
      </w:r>
    </w:p>
    <w:p w14:paraId="066C2330" w14:textId="77777777" w:rsidR="008314A7" w:rsidRDefault="008314A7" w:rsidP="008314A7">
      <w:pPr>
        <w:pStyle w:val="artifact-docx-previewheading1"/>
        <w:shd w:val="clear" w:color="auto" w:fill="FFFFFF"/>
        <w:spacing w:before="0" w:beforeAutospacing="0" w:after="0" w:afterAutospacing="0" w:line="480" w:lineRule="auto"/>
        <w:rPr>
          <w:color w:val="000000"/>
          <w:sz w:val="27"/>
          <w:szCs w:val="27"/>
        </w:rPr>
      </w:pPr>
      <w:r>
        <w:rPr>
          <w:rFonts w:ascii="Calibri" w:hAnsi="Calibri" w:cs="Calibri"/>
          <w:b/>
          <w:bCs/>
          <w:color w:val="365F91"/>
          <w:sz w:val="28"/>
          <w:szCs w:val="28"/>
        </w:rPr>
        <w:t>Introduction</w:t>
      </w:r>
    </w:p>
    <w:p w14:paraId="7D8E9996" w14:textId="77777777" w:rsidR="008314A7" w:rsidRDefault="008314A7" w:rsidP="008314A7">
      <w:pPr>
        <w:pStyle w:val="NormalWeb"/>
        <w:shd w:val="clear" w:color="auto" w:fill="FFFFFF"/>
        <w:spacing w:before="0" w:beforeAutospacing="0" w:after="0" w:afterAutospacing="0" w:line="480" w:lineRule="auto"/>
        <w:ind w:firstLine="720"/>
        <w:rPr>
          <w:color w:val="000000"/>
          <w:sz w:val="27"/>
          <w:szCs w:val="27"/>
        </w:rPr>
      </w:pPr>
      <w:r>
        <w:rPr>
          <w:rFonts w:ascii="Cambria" w:hAnsi="Cambria"/>
          <w:color w:val="000000"/>
          <w:sz w:val="22"/>
          <w:szCs w:val="22"/>
        </w:rPr>
        <w:t xml:space="preserve">United Nations Security Council Resolution 1325 placed women’s participation at the </w:t>
      </w:r>
      <w:proofErr w:type="spellStart"/>
      <w:r>
        <w:rPr>
          <w:rFonts w:ascii="Cambria" w:hAnsi="Cambria"/>
          <w:color w:val="000000"/>
          <w:sz w:val="22"/>
          <w:szCs w:val="22"/>
        </w:rPr>
        <w:t>centre</w:t>
      </w:r>
      <w:proofErr w:type="spellEnd"/>
      <w:r>
        <w:rPr>
          <w:rFonts w:ascii="Cambria" w:hAnsi="Cambria"/>
          <w:color w:val="000000"/>
          <w:sz w:val="22"/>
          <w:szCs w:val="22"/>
        </w:rPr>
        <w:t xml:space="preserve"> of the Women, Peace and Security agenda. Subsequent United Nations policies have called for greater representation of women in peace operations and for their meaningful participation across military, police, and civilian functions. Yet women remain underrepresented in military peacekeeping, particularly in operational and leadership roles. Numerical targets have increased attention to how many women deploy, but deployment figures alone do not explain how personnel become eligible, qualified, and competitive for particular assignments. Understanding participation therefore requires attention to the military processes that precede deployment.</w:t>
      </w:r>
    </w:p>
    <w:p w14:paraId="62A715B0" w14:textId="77777777" w:rsidR="008314A7" w:rsidRDefault="008314A7" w:rsidP="008314A7">
      <w:pPr>
        <w:pStyle w:val="NormalWeb"/>
        <w:shd w:val="clear" w:color="auto" w:fill="FFFFFF"/>
        <w:spacing w:before="0" w:beforeAutospacing="0" w:after="0" w:afterAutospacing="0" w:line="480" w:lineRule="auto"/>
        <w:ind w:firstLine="720"/>
        <w:rPr>
          <w:color w:val="000000"/>
          <w:sz w:val="27"/>
          <w:szCs w:val="27"/>
        </w:rPr>
      </w:pPr>
      <w:r>
        <w:rPr>
          <w:rFonts w:ascii="Cambria" w:hAnsi="Cambria"/>
          <w:color w:val="000000"/>
          <w:sz w:val="22"/>
          <w:szCs w:val="22"/>
        </w:rPr>
        <w:t xml:space="preserve">Research on gender and military organizations has shown that formal equality does not necessarily produce equal access to occupational experience, authority, or advancement. Military institutions may adopt gender-neutral rules while continuing to value an image of the ideal soldier associated with physical resilience, operational risk, continuous availability, mobility, and combat experience (Acker, 1990; </w:t>
      </w:r>
      <w:proofErr w:type="spellStart"/>
      <w:r>
        <w:rPr>
          <w:rFonts w:ascii="Cambria" w:hAnsi="Cambria"/>
          <w:color w:val="000000"/>
          <w:sz w:val="22"/>
          <w:szCs w:val="22"/>
        </w:rPr>
        <w:t>Carreiras</w:t>
      </w:r>
      <w:proofErr w:type="spellEnd"/>
      <w:r>
        <w:rPr>
          <w:rFonts w:ascii="Cambria" w:hAnsi="Cambria"/>
          <w:color w:val="000000"/>
          <w:sz w:val="22"/>
          <w:szCs w:val="22"/>
        </w:rPr>
        <w:t xml:space="preserve">, 2006; Segal, 1995). Peacekeeping scholarship similarly shows </w:t>
      </w:r>
      <w:r>
        <w:rPr>
          <w:rFonts w:ascii="Cambria" w:hAnsi="Cambria"/>
          <w:color w:val="000000"/>
          <w:sz w:val="22"/>
          <w:szCs w:val="22"/>
        </w:rPr>
        <w:lastRenderedPageBreak/>
        <w:t xml:space="preserve">that women may be included while remaining concentrated in medical, administrative, logistical, gender-advisory, or community-facing functions. This pattern has been described as </w:t>
      </w:r>
      <w:proofErr w:type="spellStart"/>
      <w:r>
        <w:rPr>
          <w:rFonts w:ascii="Cambria" w:hAnsi="Cambria"/>
          <w:color w:val="000000"/>
          <w:sz w:val="22"/>
          <w:szCs w:val="22"/>
        </w:rPr>
        <w:t>sidestreaming</w:t>
      </w:r>
      <w:proofErr w:type="spellEnd"/>
      <w:r>
        <w:rPr>
          <w:rFonts w:ascii="Cambria" w:hAnsi="Cambria"/>
          <w:color w:val="000000"/>
          <w:sz w:val="22"/>
          <w:szCs w:val="22"/>
        </w:rPr>
        <w:t>: women participate and may perform valuable work, but their inclusion does not necessarily extend across the full range of mission roles and decision-making authority (Newby &amp; Sebag, 2021).</w:t>
      </w:r>
    </w:p>
    <w:p w14:paraId="3EF7E711" w14:textId="77777777" w:rsidR="008314A7" w:rsidRDefault="008314A7" w:rsidP="008314A7">
      <w:pPr>
        <w:pStyle w:val="NormalWeb"/>
        <w:shd w:val="clear" w:color="auto" w:fill="FFFFFF"/>
        <w:spacing w:before="0" w:beforeAutospacing="0" w:after="0" w:afterAutospacing="0" w:line="480" w:lineRule="auto"/>
        <w:ind w:firstLine="720"/>
        <w:rPr>
          <w:color w:val="000000"/>
          <w:sz w:val="27"/>
          <w:szCs w:val="27"/>
        </w:rPr>
      </w:pPr>
      <w:r>
        <w:rPr>
          <w:rFonts w:ascii="Cambria" w:hAnsi="Cambria"/>
          <w:color w:val="000000"/>
          <w:sz w:val="22"/>
          <w:szCs w:val="22"/>
        </w:rPr>
        <w:t>These literatures identify important barriers, but they often examine recruitment, occupational allocation, training, deployment, or mission roles separately. Less attention has been given to how military officers understand the relationship among decisions made at different career stages. A final deployment decision may depend on a person’s occupational specialty, completed courses, prior operational experience, availability, and nomination by commanders. Those qualifications are not created when a peacekeeping contingent is assembled. They develop through earlier personnel decisions that can expand or narrow later opportunities.</w:t>
      </w:r>
    </w:p>
    <w:p w14:paraId="476840C1" w14:textId="77777777" w:rsidR="008314A7" w:rsidRDefault="008314A7" w:rsidP="008314A7">
      <w:pPr>
        <w:pStyle w:val="NormalWeb"/>
        <w:shd w:val="clear" w:color="auto" w:fill="FFFFFF"/>
        <w:spacing w:before="0" w:beforeAutospacing="0" w:after="0" w:afterAutospacing="0" w:line="480" w:lineRule="auto"/>
        <w:ind w:firstLine="720"/>
        <w:rPr>
          <w:color w:val="000000"/>
          <w:sz w:val="27"/>
          <w:szCs w:val="27"/>
        </w:rPr>
      </w:pPr>
      <w:r>
        <w:rPr>
          <w:rFonts w:ascii="Cambria" w:hAnsi="Cambria"/>
          <w:color w:val="000000"/>
          <w:sz w:val="22"/>
          <w:szCs w:val="22"/>
        </w:rPr>
        <w:t xml:space="preserve">This article examines how Kenyan military officers describe personnel decisions relevant to women’s participation in United Nations peacekeeping. It asks: How do officers describe and justify decisions concerning recruitment, training, role allocation, operational experience, and deployment, and what potential connections do their accounts identify across these career stages? Kenya provides an analytically useful case because the Kenya </w:t>
      </w:r>
      <w:proofErr w:type="spellStart"/>
      <w:r>
        <w:rPr>
          <w:rFonts w:ascii="Cambria" w:hAnsi="Cambria"/>
          <w:color w:val="000000"/>
          <w:sz w:val="22"/>
          <w:szCs w:val="22"/>
        </w:rPr>
        <w:t>Defence</w:t>
      </w:r>
      <w:proofErr w:type="spellEnd"/>
      <w:r>
        <w:rPr>
          <w:rFonts w:ascii="Cambria" w:hAnsi="Cambria"/>
          <w:color w:val="000000"/>
          <w:sz w:val="22"/>
          <w:szCs w:val="22"/>
        </w:rPr>
        <w:t xml:space="preserve"> Forces has extensive experience in United Nations and regional operations while women remain a minority in several operational and command pathways. The case makes it possible to examine how international commitments to women’s participation are interpreted within a national military institution.</w:t>
      </w:r>
    </w:p>
    <w:p w14:paraId="05891431" w14:textId="77777777" w:rsidR="008314A7" w:rsidRDefault="008314A7" w:rsidP="008314A7">
      <w:pPr>
        <w:pStyle w:val="NormalWeb"/>
        <w:shd w:val="clear" w:color="auto" w:fill="FFFFFF"/>
        <w:spacing w:before="0" w:beforeAutospacing="0" w:after="0" w:afterAutospacing="0" w:line="480" w:lineRule="auto"/>
        <w:ind w:firstLine="720"/>
        <w:rPr>
          <w:color w:val="000000"/>
          <w:sz w:val="27"/>
          <w:szCs w:val="27"/>
        </w:rPr>
      </w:pPr>
      <w:r>
        <w:rPr>
          <w:rFonts w:ascii="Cambria" w:hAnsi="Cambria"/>
          <w:color w:val="000000"/>
          <w:sz w:val="22"/>
          <w:szCs w:val="22"/>
        </w:rPr>
        <w:t xml:space="preserve">The article argues that officers’ accounts reveal gendered gatekeeping at connected points in the military career pathway. Participants described judgments about competence, occupational suitability, protection, risk, family responsibility, availability, and mission need. Read together, these accounts identify potential connections between earlier access to training and assignments and later peacekeeping opportunities. The study develops cumulative gatekeeping as an analytical mechanism: a decision at one stage may affect the qualifications or experience considered at </w:t>
      </w:r>
      <w:r>
        <w:rPr>
          <w:rFonts w:ascii="Cambria" w:hAnsi="Cambria"/>
          <w:color w:val="000000"/>
          <w:sz w:val="22"/>
          <w:szCs w:val="22"/>
        </w:rPr>
        <w:lastRenderedPageBreak/>
        <w:t>another. The evidence does not, however, trace a complete individual career sequence from an early restriction to a later deployment or promotion outcome. The contribution is therefore to identify officers’ reported connections across career stages and to propose a mechanism for further testing, rather than to claim measured cumulative effects.</w:t>
      </w:r>
    </w:p>
    <w:p w14:paraId="76D85ABD" w14:textId="77777777" w:rsidR="008314A7" w:rsidRDefault="008314A7" w:rsidP="008314A7">
      <w:pPr>
        <w:pStyle w:val="NormalWeb"/>
        <w:shd w:val="clear" w:color="auto" w:fill="FFFFFF"/>
        <w:spacing w:before="0" w:beforeAutospacing="0" w:after="0" w:afterAutospacing="0" w:line="480" w:lineRule="auto"/>
        <w:ind w:firstLine="720"/>
        <w:rPr>
          <w:color w:val="000000"/>
          <w:sz w:val="27"/>
          <w:szCs w:val="27"/>
        </w:rPr>
      </w:pPr>
      <w:r>
        <w:rPr>
          <w:rFonts w:ascii="Cambria" w:hAnsi="Cambria"/>
          <w:color w:val="000000"/>
          <w:sz w:val="22"/>
          <w:szCs w:val="22"/>
        </w:rPr>
        <w:t>This argument does not assume that all women should serve in combat roles, that all women seek such assignments, or that men are absent from support functions. It also does not treat medical, logistical, administrative, intelligence, communication, and community-facing roles as less important to military effectiveness. The concern is not equal numerical distribution across every occupation. It is whether qualified personnel have meaningful opportunities to pursue different career pathways and whether assignments reflect demonstrated competence, individual interests, informed preferences, operational requirements, and mission needs rather than generalized assumptions about gender. Equality of opportunity does not require occupational sameness; it requires meaningful choice and the consistent application of relevant professional criteria.</w:t>
      </w:r>
    </w:p>
    <w:p w14:paraId="43E95731" w14:textId="06A74F8A" w:rsidR="00263DC6" w:rsidRPr="008314A7" w:rsidRDefault="008314A7" w:rsidP="008314A7">
      <w:pPr>
        <w:pStyle w:val="NormalWeb"/>
        <w:shd w:val="clear" w:color="auto" w:fill="FFFFFF"/>
        <w:spacing w:before="0" w:beforeAutospacing="0" w:after="0" w:afterAutospacing="0" w:line="480" w:lineRule="auto"/>
        <w:ind w:firstLine="720"/>
        <w:rPr>
          <w:color w:val="000000"/>
          <w:sz w:val="27"/>
          <w:szCs w:val="27"/>
        </w:rPr>
      </w:pPr>
      <w:r>
        <w:rPr>
          <w:rFonts w:ascii="Cambria" w:hAnsi="Cambria"/>
          <w:color w:val="000000"/>
          <w:sz w:val="22"/>
          <w:szCs w:val="22"/>
        </w:rPr>
        <w:t xml:space="preserve">The article makes three contributions. First, it connects research on gendered military organizations with scholarship on women’s participation in peacekeeping. Second, it shifts attention from final deployment numbers to the personnel processes through which eligibility and experience are developed. Third, it provides a bounded account of institutional reasoning in the Kenya </w:t>
      </w:r>
      <w:proofErr w:type="spellStart"/>
      <w:r>
        <w:rPr>
          <w:rFonts w:ascii="Cambria" w:hAnsi="Cambria"/>
          <w:color w:val="000000"/>
          <w:sz w:val="22"/>
          <w:szCs w:val="22"/>
        </w:rPr>
        <w:t>Defence</w:t>
      </w:r>
      <w:proofErr w:type="spellEnd"/>
      <w:r>
        <w:rPr>
          <w:rFonts w:ascii="Cambria" w:hAnsi="Cambria"/>
          <w:color w:val="000000"/>
          <w:sz w:val="22"/>
          <w:szCs w:val="22"/>
        </w:rPr>
        <w:t xml:space="preserve"> Forces, including restrictive judgments, operational considerations, and practices that can create opportunities for women. The next section develops the theoretical framework. The article then explains the qualitative case-study design, presents the findings, and discusses their implications for research and institutional practice.</w:t>
      </w:r>
    </w:p>
    <w:p w14:paraId="6FE9CFFE" w14:textId="77777777" w:rsidR="00263DC6" w:rsidRDefault="00263DC6">
      <w:pPr>
        <w:pStyle w:val="Title"/>
        <w:jc w:val="center"/>
      </w:pPr>
    </w:p>
    <w:p w14:paraId="5CAAACAC" w14:textId="69C2C419" w:rsidR="005E4D46" w:rsidRDefault="00000000">
      <w:pPr>
        <w:pStyle w:val="Title"/>
        <w:jc w:val="center"/>
      </w:pPr>
      <w:r>
        <w:t>Gendered Military Organizations Women’s Participation and Peacekeeping</w:t>
      </w:r>
    </w:p>
    <w:p w14:paraId="1AAF3880" w14:textId="77777777" w:rsidR="005E4D46" w:rsidRDefault="00000000">
      <w:pPr>
        <w:pStyle w:val="Heading1"/>
      </w:pPr>
      <w:r>
        <w:t>Gendered Military Organizations and Occupational Hierarchies</w:t>
      </w:r>
    </w:p>
    <w:p w14:paraId="4F173D32" w14:textId="77777777" w:rsidR="005E4D46" w:rsidRDefault="00000000">
      <w:r>
        <w:t xml:space="preserve">Formal access to military service does not necessarily produce equal access to military careers. Even where recruitment and assignment policies are formally gender-neutral, occupational specialization, operational experience, and routes to command may remain gendered. Military </w:t>
      </w:r>
      <w:r>
        <w:lastRenderedPageBreak/>
        <w:t>hierarchies have historically associated competence with combat, physical endurance, operational risk, and masculine forms of soldiering. Personnel systems may therefore reproduce unequal outcomes when the experiences treated as evidence of merit are distributed unevenly across occupational structures (Acker, 1990; Carreiras, 2006; Segal, 1995).</w:t>
      </w:r>
    </w:p>
    <w:p w14:paraId="499397EE" w14:textId="77777777" w:rsidR="005E4D46" w:rsidRDefault="00000000">
      <w:r>
        <w:t>The concept of the gendered organization provides a useful starting point for understanding military institutions. Acker (1990) argues that organizations are not gender-neutral settings in which pre-existing inequalities simply appear. Rather, organizational rules, job classifications, authority relations, workplace cultures, and images of the ideal worker may themselves be organized around gendered assumptions. In military institutions, these assumptions have historically been expressed through the association of soldiering with masculinity and the positioning of women as dependents, protected populations, or providers of care (Acker, 1990; Carreiras, 2006).</w:t>
      </w:r>
    </w:p>
    <w:p w14:paraId="3E386D76" w14:textId="77777777" w:rsidR="005E4D46" w:rsidRDefault="00000000">
      <w:r>
        <w:t>This does not mean that military organizations are uniform or that all women experience military service in the same way. Militaries differ by national history, recruitment system, rank structure, mission, and degree of professionalization. Nevertheless, research on women in the armed forces consistently demonstrates that formal inclusion does not necessarily produce substantive integration. Women may be permitted to enter military organizations while remaining concentrated in occupations, branches, and assignments that carry less institutional status or offer fewer routes to command. Historically, women have been especially represented in administrative, medical, logistical, and support roles, whereas combat arms and other high-risk specialties have been treated as central to military identity and leadership development (Carreiras, 2006; Segal, 1995).</w:t>
      </w:r>
    </w:p>
    <w:p w14:paraId="15CC2634" w14:textId="77777777" w:rsidR="005E4D46" w:rsidRDefault="00000000">
      <w:r>
        <w:t>The importance of this occupational distinction lies in the unequal value attached to military jobs. Military occupations are not simply different forms of employment. They may provide different forms of professional capital. Combat and high-risk operational experience can enhance credibility, demonstrate readiness under pressure, and provide access to the networks and evaluations through which promotion and command potential are assessed. The relationship is not mechanical: combat experience does not guarantee promotion, and noncombat work may be operationally indispensable. Nevertheless, when organizational cultures define the “real soldier” through combat-oriented experience, personnel who are excluded from those opportunities may face disadvantages later in their careers (King, 2013; Segal, 1995).</w:t>
      </w:r>
    </w:p>
    <w:p w14:paraId="53E266AA" w14:textId="77777777" w:rsidR="005E4D46" w:rsidRDefault="00000000">
      <w:r>
        <w:t>King’s (2013) analysis of women in combat emphasizes that the central question is not whether women can be symbolically included in military organizations, but whether selection and assignment are based on competence rather than gendered assumptions. In professional forces, cohesion depends substantially on training, competence, and organizational professionalism rather than on the exclusion of women as a category (King, 2013). The opening of military occupations to women may therefore remove formal barriers without eliminating informal judgments about who is suited to combat, who requires protection, and whose experience counts as evidence of leadership (Acker, 1990; Carreiras, 2006).</w:t>
      </w:r>
    </w:p>
    <w:p w14:paraId="2F89766E" w14:textId="77777777" w:rsidR="005E4D46" w:rsidRDefault="00000000">
      <w:r>
        <w:t xml:space="preserve">Recent research continues to show that formal access and practical integration can diverge. The gradual opening of military roles in countries such as Sweden demonstrates that formal restrictions can be removed over time, including restrictions affecting combat-related roles. Yet the historical concentration of women in traditionally feminized occupations continues to shape organizational expectations and career pathways (Persson &amp; Sundevall, 2019). Similarly, debates over women’s combat service demonstrate that “combat” is not a single category. Military institutions distinguish among combat arms, combat support, logistics, medical service, and other </w:t>
      </w:r>
      <w:r>
        <w:lastRenderedPageBreak/>
        <w:t>roles with different degrees of proximity to danger and different levels of symbolic status (King, 2013; Sherit, 2023).</w:t>
      </w:r>
    </w:p>
    <w:p w14:paraId="4791184D" w14:textId="77777777" w:rsidR="005E4D46" w:rsidRDefault="00000000">
      <w:r>
        <w:t>Military careers are also shaped by assumptions about availability, family responsibility, and bodily capacity. The ideal military worker is often imagined as continuously deployable, physically resilient, geographically mobile, and unencumbered by care obligations. Such expectations can disadvantage women where military institutions treat pregnancy, caregiving, breastfeeding, or family responsibilities as evidence of reduced readiness. They can also disadvantage men who do not conform to the ideal of unrestricted availability. Gender inequality therefore operates not only through explicit exclusion but also through the organization of time, mobility, risk, and responsibility (Segal, 1995; Carreiras, 2006).</w:t>
      </w:r>
    </w:p>
    <w:p w14:paraId="245E209C" w14:textId="77777777" w:rsidR="005E4D46" w:rsidRDefault="00000000">
      <w:r>
        <w:t>These dynamics help explain why gender integration cannot be measured solely by the percentage of women recruited into a force. A military may increase women’s numerical representation while maintaining gendered occupational hierarchies. It may also permit women to enter an occupation without providing equal access to the units, missions, field experience, and command positions that make that occupation career-enhancing. The relevant issue is therefore not only whether women are formally eligible for military work, but how routine personnel decisions distribute opportunities across the career pathway (Acker, 1990; Carreiras, 2006; Newby &amp; Sebag, 2021).</w:t>
      </w:r>
    </w:p>
    <w:p w14:paraId="4A15C3F5" w14:textId="77777777" w:rsidR="005E4D46" w:rsidRDefault="00000000">
      <w:pPr>
        <w:pStyle w:val="Heading1"/>
      </w:pPr>
      <w:r>
        <w:t>Women, Peace and Security and Meaningful Participation</w:t>
      </w:r>
    </w:p>
    <w:p w14:paraId="400B6C30" w14:textId="77777777" w:rsidR="005E4D46" w:rsidRDefault="00000000">
      <w:r>
        <w:t>This literature on gendered military organizations provides the institutional context for the Women, Peace and Security (WPS) agenda. United Nations Security Council Resolution 1325 called for women’s participation in conflict prevention, conflict management, conflict resolution, peacebuilding, and peace operations. Subsequent policy initiatives have promoted the recruitment and deployment of women in uniformed peacekeeping roles, presenting women’s participation as both a matter of equality and a potential contribution to mission effectiveness (United Nations Security Council, 2000; United Nations Department of Peace Operations, 2022).</w:t>
      </w:r>
    </w:p>
    <w:p w14:paraId="114253A5" w14:textId="77777777" w:rsidR="005E4D46" w:rsidRDefault="00000000">
      <w:r>
        <w:t>The WPS agenda has expanded the meaning of participation beyond the presence of women in national security institutions. Women’s participation has been associated with access to local women and girls, community engagement, information gathering, protection, legitimacy, and responsiveness to gender-based violence. Women peacekeepers may be able to conduct searches, interviews, patrols, and outreach activities that male personnel cannot perform as easily in particular contexts (Karim &amp; Beardsley, 2017; United Nations Department of Peace Operations, 2022). These arguments have helped establish women’s deployment as an operational concern rather than solely a representational one.</w:t>
      </w:r>
    </w:p>
    <w:p w14:paraId="388F8B20" w14:textId="77777777" w:rsidR="005E4D46" w:rsidRDefault="00000000">
      <w:r>
        <w:t>However, the connection between women’s participation and operational effectiveness remains contested. Policy arguments frequently treat women as possessing distinctive qualities—such as empathy, communicative ability, peacefulness, or natural concern for children and families—that make them especially suitable for peacekeeping. Feminist research has shown that these assumptions can essentialize women and reproduce the gender binaries that gender mainstreaming seeks to challenge (Henry, 2010; Valenius, 2007). The claim that women are naturally better at community engagement may appear to recognize women’s value, but it can also define their value narrowly.</w:t>
      </w:r>
    </w:p>
    <w:p w14:paraId="75D92E94" w14:textId="77777777" w:rsidR="005E4D46" w:rsidRDefault="00000000">
      <w:r>
        <w:t xml:space="preserve">The resulting paradox is important. Arguments intended to demonstrate why women are needed in peacekeeping may simultaneously restrict the range of roles they are expected to perform. If women are primarily valued as interlocutors with civilians, protectors of women and children, or symbols of institutional sensitivity, they may be less likely to be treated as ordinary soldiers </w:t>
      </w:r>
      <w:r>
        <w:lastRenderedPageBreak/>
        <w:t>eligible for the full range of operational assignments. The language of added value can therefore produce a hierarchy in which women’s specialized contributions are recognized while their claims to combat, command, and general military competence remain less secure (Henry, 2010; Newby &amp; Sebag, 2021; Valenius, 2007).</w:t>
      </w:r>
    </w:p>
    <w:p w14:paraId="27DCC972" w14:textId="77777777" w:rsidR="005E4D46" w:rsidRDefault="00000000">
      <w:r>
        <w:t>Research on peacekeeping has also cautioned against assuming that a higher number of women automatically produces more effective missions. Establishing a direct causal relationship between the proportion of women peacekeepers and operational effectiveness is difficult because effectiveness is multidimensional and affected by mandate, mission design, training, resources, command, and local political conditions. Efficiency-based claims may instrumentalize women by presenting their inclusion primarily as a means to improve mission performance rather than as a matter of equality and institutional justice (Henry, 2010; Karim &amp; Beardsley, 2017). Meaningful participation therefore requires attention to authority, occupational distribution, working conditions, and career consequences, not only representation.</w:t>
      </w:r>
    </w:p>
    <w:p w14:paraId="5C28E09F" w14:textId="77777777" w:rsidR="005E4D46" w:rsidRDefault="00000000">
      <w:pPr>
        <w:pStyle w:val="Heading1"/>
      </w:pPr>
      <w:r>
        <w:t>Gendered Role Allocation in Peacekeeping</w:t>
      </w:r>
    </w:p>
    <w:p w14:paraId="273E152C" w14:textId="77777777" w:rsidR="005E4D46" w:rsidRDefault="00000000">
      <w:r>
        <w:t>The distinction between numerical participation and substantive integration is developed particularly clearly through the concept of gender sidestreaming. Newby and Sebag (2021) define sidestreaming as the deliberate or unintended sidelining of women into specialized spaces while institutions claim to be pursuing gender mainstreaming. Their analysis connects national military structures with international peacekeeping and shows how women may be concentrated in gendered, lower-status, or support-oriented roles in both settings (Newby &amp; Sebag, 2021).</w:t>
      </w:r>
    </w:p>
    <w:p w14:paraId="13BEF18F" w14:textId="77777777" w:rsidR="005E4D46" w:rsidRDefault="00000000">
      <w:r>
        <w:t>Sidestreaming directs attention to a basic question: participation in what? A country may increase the number of women deployed without integrating women across military occupations and operational functions. Women may be present in a contingent but concentrated in medical, administrative, liaison, community-engagement, gender, or other roles viewed as particularly appropriate for them. They may also be deployed but kept on bases, excluded from patrols, restricted from high-risk areas, or assigned to activities that provide limited access to operational authority (Karim &amp; Beardsley, 2017; Newby &amp; Sebag, 2021).</w:t>
      </w:r>
    </w:p>
    <w:p w14:paraId="1F45B3BF" w14:textId="77777777" w:rsidR="005E4D46" w:rsidRDefault="00000000">
      <w:r>
        <w:t xml:space="preserve">Building on these debates, this study distinguishes four dimensions of participation. The first is </w:t>
      </w:r>
      <w:r>
        <w:rPr>
          <w:b/>
        </w:rPr>
        <w:t>numerical participation</w:t>
      </w:r>
      <w:r>
        <w:t xml:space="preserve">, referring to the proportion of women in a force or mission. The second is </w:t>
      </w:r>
      <w:r>
        <w:rPr>
          <w:b/>
        </w:rPr>
        <w:t>occupational integration</w:t>
      </w:r>
      <w:r>
        <w:t xml:space="preserve">, referring to whether women are distributed across military specialties rather than concentrated in a small number of feminized roles. The third is </w:t>
      </w:r>
      <w:r>
        <w:rPr>
          <w:b/>
        </w:rPr>
        <w:t>operational integration</w:t>
      </w:r>
      <w:r>
        <w:t xml:space="preserve">, referring to access to patrols, field tasks, high-risk assignments, and mission-critical activities. The fourth is </w:t>
      </w:r>
      <w:r>
        <w:rPr>
          <w:b/>
        </w:rPr>
        <w:t>career integration</w:t>
      </w:r>
      <w:r>
        <w:t>, referring to whether deployment provides experience, evaluations, networks, and authority that contribute to promotion and command. This four-part distinction is developed here as an analytical synthesis of scholarship showing that representation alone cannot demonstrate gender mainstreaming (Newby &amp; Sebag, 2021; United Nations Department of Peace Operations, 2022).</w:t>
      </w:r>
    </w:p>
    <w:p w14:paraId="500D7416" w14:textId="77777777" w:rsidR="005E4D46" w:rsidRDefault="00000000">
      <w:r>
        <w:t>Specialized roles are not necessarily unimportant. Medical care, liaison, civil affairs, gender advising, and community engagement may be central to mission performance. The problem arises when women are disproportionately directed toward these roles and when those roles carry less status or fewer career benefits than combat-oriented assignments. Recognition of women’s distinctive contributions can therefore coexist with protective practices that constrain their agency or marginalize them from mainstream military roles (Harel, 2024; Newby &amp; Sebag, 2021).</w:t>
      </w:r>
    </w:p>
    <w:p w14:paraId="2F2B57B2" w14:textId="77777777" w:rsidR="005E4D46" w:rsidRDefault="00000000">
      <w:r>
        <w:t xml:space="preserve">The peacekeeping literature consequently identifies a tension between inclusion and occupational segregation. Women may be recruited because they are believed to possess special capacities, </w:t>
      </w:r>
      <w:r>
        <w:lastRenderedPageBreak/>
        <w:t>deployed because their presence satisfies institutional targets, and assigned to roles that fit gendered expectations. These processes can increase women’s visibility without challenging the masculine organization of authority. Sidestreaming is therefore not simply a problem of insufficient numbers; it is a mechanism through which institutions can appear more inclusive while preserving established hierarchies (Newby &amp; Sebag, 2021; Henry, 2010).</w:t>
      </w:r>
    </w:p>
    <w:p w14:paraId="2CD00A21" w14:textId="77777777" w:rsidR="005E4D46" w:rsidRDefault="00000000">
      <w:pPr>
        <w:pStyle w:val="Heading1"/>
      </w:pPr>
      <w:r>
        <w:t>Risk, Protection, and the Added Burden</w:t>
      </w:r>
    </w:p>
    <w:p w14:paraId="44214BE3" w14:textId="77777777" w:rsidR="005E4D46" w:rsidRDefault="00000000">
      <w:r>
        <w:t>Gendered role allocation is also shaped by arguments concerning risk and protection. Military decision-makers may describe women as operational assets in some contexts but as creating additional logistical, protective, family, medical, or readiness considerations in others. Concerns about pregnancy, breastfeeding, accommodation, sexual violence, mission volatility, unit cohesion, or physical vulnerability may influence assessments of where women should be assigned (Carreiras, 2006; Karim &amp; Beardsley, 2017; Segal, 1995).</w:t>
      </w:r>
    </w:p>
    <w:p w14:paraId="4C690A46" w14:textId="77777777" w:rsidR="005E4D46" w:rsidRDefault="00000000">
      <w:r>
        <w:t>Such arguments cannot be treated only as personal attitudes. They function as organizational categories through which personnel are evaluated and assignments are justified. A decision-maker may believe that limiting women’s exposure protects them, protects the unit, or preserves operational readiness. Yet the practical result may be restricted access to difficult assignments, reduced experience in high-risk environments, and weaker claims to promotion or command (Acker, 1990; King, 2013; Newby &amp; Sebag, 2021).</w:t>
      </w:r>
    </w:p>
    <w:p w14:paraId="74BBEBDB" w14:textId="77777777" w:rsidR="005E4D46" w:rsidRDefault="00000000">
      <w:r>
        <w:t>The same logic can also produce an “added burden.” Women may be expected to perform ordinary military duties while also serving as representatives of gender inclusion, engaging women in local communities, addressing sexual exploitation and abuse, or demonstrating the mission’s commitment to equality. Scholarship on peacekeeping describes how women’s supposed distinctive value can generate unrealistic expectations, limited role options, and additional work within masculinized institutions (Henry, 2010; Wilén, 2020). Women may thus be simultaneously treated as insufficiently suited to traditional soldiering and excessively responsible for the mission’s gender-related objectives.</w:t>
      </w:r>
    </w:p>
    <w:p w14:paraId="685414E3" w14:textId="77777777" w:rsidR="005E4D46" w:rsidRDefault="00000000">
      <w:r>
        <w:t>This tension is visible in the competing narratives that surround women’s deployment. Women may be portrayed as especially capable of understanding the experiences of women and children, but also as personnel requiring special protection. They may be viewed as valuable for community engagement, but less suitable for volatile environments. They may be recognized as peacekeepers while being evaluated against an ideal of soldiering constructed around combat and physical risk. These apparently contradictory assessments can coexist because they serve different organizational purposes: one justifies women’s inclusion in specialized roles, while the other limits their access to mainstream operational assignments (Karim &amp; Beardsley, 2017; Newby &amp; Sebag, 2021; Valenius, 2007).</w:t>
      </w:r>
    </w:p>
    <w:p w14:paraId="7CB22AB1" w14:textId="77777777" w:rsidR="005E4D46" w:rsidRDefault="00000000">
      <w:pPr>
        <w:pStyle w:val="Heading1"/>
      </w:pPr>
      <w:r>
        <w:t>The Missing Link: Internal Military Decision-Making</w:t>
      </w:r>
    </w:p>
    <w:p w14:paraId="5A1CCD86" w14:textId="77777777" w:rsidR="005E4D46" w:rsidRDefault="00000000">
      <w:r>
        <w:t>Existing scholarship has established that military organizations are gendered, that women remain occupationally concentrated in particular military roles, and that women peacekeepers may be sidestreamed or deployed differently according to perceived risk and suitability. Research has also shown that WPS policy can produce both opportunities for inclusion and essentialized expectations about women’s distinctive contributions (Acker, 1990; Henry, 2010; Newby &amp; Sebag, 2021). What is less frequently connected across these literatures is the sequence through which internal military decisions produce deployment outcomes.</w:t>
      </w:r>
    </w:p>
    <w:p w14:paraId="1E0565DF" w14:textId="77777777" w:rsidR="005E4D46" w:rsidRDefault="00000000">
      <w:r>
        <w:t xml:space="preserve">Studies of women in the armed forces often examine organizational culture, occupational segregation, combat access, promotion, retention, or leadership. Peacekeeping scholarship, by contrast, frequently examines representation, mission roles, operational effectiveness, or the </w:t>
      </w:r>
      <w:r>
        <w:lastRenderedPageBreak/>
        <w:t>implementation of WPS norms. These approaches illuminate important parts of the problem, but they do not always explain how decisions accumulate across the military personnel process. Consequently, less is known about how judgments made during recruitment, pre-training assessment, occupational allocation, readiness evaluation, and peacekeeping selection connect gendered military institutions to the distribution of women across peacekeeping roles (Carreiras, 2006; Karim &amp; Beardsley, 2017; Newby &amp; Sebag, 2021).</w:t>
      </w:r>
    </w:p>
    <w:p w14:paraId="5021EDD5" w14:textId="77777777" w:rsidR="005E4D46" w:rsidRDefault="00000000">
      <w:r>
        <w:t>This gap is narrower than the claim that gendered decision-making has been overlooked altogether. Rather, existing research has insufficiently connected the stages through which military careers are organized. The relevant pathway is recruitment, pre-training assessment, training, role allocation, and deployment. Studying this pathway makes it possible to examine how apparently routine judgments about suitability, risk, competence, family responsibility, protection, and readiness accumulate before a soldier is selected for peacekeeping. It also shifts the analysis from deployment outcomes alone to the organizational processes that produce those outcomes (Acker, 1990; King, 2013; Newby &amp; Sebag, 2021).</w:t>
      </w:r>
    </w:p>
    <w:p w14:paraId="40ADEBB5" w14:textId="77777777" w:rsidR="005E4D46" w:rsidRDefault="00000000">
      <w:r>
        <w:t>The central contribution of the present study is therefore to connect scholarship on gendered military organizations with research on women, peacekeeping, and WPS by examining how internal personnel decisions shape women’s opportunities across the military career pathway and, ultimately, their participation in peacekeeping.</w:t>
      </w:r>
    </w:p>
    <w:p w14:paraId="2B6B82EA" w14:textId="77777777" w:rsidR="008314A7" w:rsidRDefault="00000000" w:rsidP="008314A7">
      <w:pPr>
        <w:pStyle w:val="artifact-docx-previewheading1"/>
        <w:shd w:val="clear" w:color="auto" w:fill="FFFFFF"/>
        <w:spacing w:before="0" w:beforeAutospacing="0" w:after="0" w:afterAutospacing="0" w:line="480" w:lineRule="auto"/>
        <w:rPr>
          <w:color w:val="000000"/>
          <w:sz w:val="27"/>
          <w:szCs w:val="27"/>
        </w:rPr>
      </w:pPr>
      <w:r>
        <w:br w:type="page"/>
      </w:r>
      <w:r w:rsidR="008314A7">
        <w:rPr>
          <w:rFonts w:ascii="Calibri" w:hAnsi="Calibri" w:cs="Calibri"/>
          <w:b/>
          <w:bCs/>
          <w:color w:val="365F91"/>
          <w:sz w:val="28"/>
          <w:szCs w:val="28"/>
        </w:rPr>
        <w:lastRenderedPageBreak/>
        <w:t>Theoretical Framework</w:t>
      </w:r>
    </w:p>
    <w:p w14:paraId="568A0DEB" w14:textId="77777777" w:rsidR="008314A7" w:rsidRDefault="008314A7" w:rsidP="008314A7">
      <w:pPr>
        <w:pStyle w:val="artifact-docx-previewheading2"/>
        <w:shd w:val="clear" w:color="auto" w:fill="FFFFFF"/>
        <w:spacing w:before="0" w:beforeAutospacing="0" w:after="0" w:afterAutospacing="0" w:line="480" w:lineRule="auto"/>
        <w:rPr>
          <w:color w:val="000000"/>
          <w:sz w:val="27"/>
          <w:szCs w:val="27"/>
        </w:rPr>
      </w:pPr>
      <w:r>
        <w:rPr>
          <w:rFonts w:ascii="Calibri" w:hAnsi="Calibri" w:cs="Calibri"/>
          <w:b/>
          <w:bCs/>
          <w:color w:val="4F81BD"/>
          <w:sz w:val="26"/>
          <w:szCs w:val="26"/>
        </w:rPr>
        <w:t>Gendered Organizations</w:t>
      </w:r>
    </w:p>
    <w:p w14:paraId="0944D215" w14:textId="77777777" w:rsidR="008314A7" w:rsidRDefault="008314A7" w:rsidP="008314A7">
      <w:pPr>
        <w:pStyle w:val="NormalWeb"/>
        <w:shd w:val="clear" w:color="auto" w:fill="FFFFFF"/>
        <w:spacing w:before="0" w:beforeAutospacing="0" w:after="0" w:afterAutospacing="0" w:line="480" w:lineRule="auto"/>
        <w:ind w:firstLine="720"/>
        <w:rPr>
          <w:color w:val="000000"/>
          <w:sz w:val="27"/>
          <w:szCs w:val="27"/>
        </w:rPr>
      </w:pPr>
      <w:r>
        <w:rPr>
          <w:rFonts w:ascii="Cambria" w:hAnsi="Cambria"/>
          <w:color w:val="000000"/>
          <w:sz w:val="22"/>
          <w:szCs w:val="22"/>
        </w:rPr>
        <w:t xml:space="preserve">Acker’s (1990) theory of gendered organizations provides the main theoretical foundation. Organizations are not gender-neutral structures whose rules operate independently of social expectations. Gender can be embedded in divisions of </w:t>
      </w:r>
      <w:proofErr w:type="spellStart"/>
      <w:r>
        <w:rPr>
          <w:rFonts w:ascii="Cambria" w:hAnsi="Cambria"/>
          <w:color w:val="000000"/>
          <w:sz w:val="22"/>
          <w:szCs w:val="22"/>
        </w:rPr>
        <w:t>labour</w:t>
      </w:r>
      <w:proofErr w:type="spellEnd"/>
      <w:r>
        <w:rPr>
          <w:rFonts w:ascii="Cambria" w:hAnsi="Cambria"/>
          <w:color w:val="000000"/>
          <w:sz w:val="22"/>
          <w:szCs w:val="22"/>
        </w:rPr>
        <w:t>, organizational symbols, everyday interactions, and apparently neutral standards of competence and commitment. A formally equal rule may therefore have unequal implications when it reflects an ideal worker who is continuously available, geographically mobile, physically resilient, and relatively free from caregiving responsibilities.</w:t>
      </w:r>
    </w:p>
    <w:p w14:paraId="303C1DB6" w14:textId="77777777" w:rsidR="008314A7" w:rsidRDefault="008314A7" w:rsidP="008314A7">
      <w:pPr>
        <w:pStyle w:val="NormalWeb"/>
        <w:shd w:val="clear" w:color="auto" w:fill="FFFFFF"/>
        <w:spacing w:before="0" w:beforeAutospacing="0" w:after="0" w:afterAutospacing="0" w:line="480" w:lineRule="auto"/>
        <w:ind w:firstLine="720"/>
        <w:rPr>
          <w:color w:val="000000"/>
          <w:sz w:val="27"/>
          <w:szCs w:val="27"/>
        </w:rPr>
      </w:pPr>
      <w:r>
        <w:rPr>
          <w:rFonts w:ascii="Cambria" w:hAnsi="Cambria"/>
          <w:color w:val="000000"/>
          <w:sz w:val="22"/>
          <w:szCs w:val="22"/>
        </w:rPr>
        <w:t>This perspective is especially relevant to military organizations. Military culture has historically associated the ideal soldier with combat readiness, endurance, risk acceptance, emotional control, and uninterrupted availability (</w:t>
      </w:r>
      <w:proofErr w:type="spellStart"/>
      <w:r>
        <w:rPr>
          <w:rFonts w:ascii="Cambria" w:hAnsi="Cambria"/>
          <w:color w:val="000000"/>
          <w:sz w:val="22"/>
          <w:szCs w:val="22"/>
        </w:rPr>
        <w:t>Carreiras</w:t>
      </w:r>
      <w:proofErr w:type="spellEnd"/>
      <w:r>
        <w:rPr>
          <w:rFonts w:ascii="Cambria" w:hAnsi="Cambria"/>
          <w:color w:val="000000"/>
          <w:sz w:val="22"/>
          <w:szCs w:val="22"/>
        </w:rPr>
        <w:t>, 2006; King, 2013; Segal, 1995). These qualities can be necessary for particular assignments, but their interpretation is not automatically neutral. Organizational actors decide what counts as readiness, which risks are acceptable, whose family circumstances are considered, and which experiences demonstrate leadership potential. Gendered-organizations theory directs attention to those decisions without assuming that every difference in assignment is discriminatory or that operational standards should be reduced.</w:t>
      </w:r>
    </w:p>
    <w:p w14:paraId="0D4C9DCC" w14:textId="77777777" w:rsidR="008314A7" w:rsidRDefault="008314A7" w:rsidP="008314A7">
      <w:pPr>
        <w:pStyle w:val="artifact-docx-previewheading2"/>
        <w:shd w:val="clear" w:color="auto" w:fill="FFFFFF"/>
        <w:spacing w:before="0" w:beforeAutospacing="0" w:after="0" w:afterAutospacing="0" w:line="480" w:lineRule="auto"/>
        <w:rPr>
          <w:color w:val="000000"/>
          <w:sz w:val="27"/>
          <w:szCs w:val="27"/>
        </w:rPr>
      </w:pPr>
      <w:r>
        <w:rPr>
          <w:rFonts w:ascii="Calibri" w:hAnsi="Calibri" w:cs="Calibri"/>
          <w:b/>
          <w:bCs/>
          <w:color w:val="4F81BD"/>
          <w:sz w:val="26"/>
          <w:szCs w:val="26"/>
        </w:rPr>
        <w:t>Institutional Gatekeeping</w:t>
      </w:r>
    </w:p>
    <w:p w14:paraId="4F4E43F2" w14:textId="77777777" w:rsidR="008314A7" w:rsidRDefault="008314A7" w:rsidP="008314A7">
      <w:pPr>
        <w:pStyle w:val="NormalWeb"/>
        <w:shd w:val="clear" w:color="auto" w:fill="FFFFFF"/>
        <w:spacing w:before="0" w:beforeAutospacing="0" w:after="0" w:afterAutospacing="0" w:line="480" w:lineRule="auto"/>
        <w:ind w:firstLine="720"/>
        <w:rPr>
          <w:color w:val="000000"/>
          <w:sz w:val="27"/>
          <w:szCs w:val="27"/>
        </w:rPr>
      </w:pPr>
      <w:r>
        <w:rPr>
          <w:rFonts w:ascii="Cambria" w:hAnsi="Cambria"/>
          <w:color w:val="000000"/>
          <w:sz w:val="22"/>
          <w:szCs w:val="22"/>
        </w:rPr>
        <w:t>Institutional gatekeeping describes how organizational expectations become decisions about access to valued opportunities. Gatekeepers include recruiters, instructors, personnel officers, commanders, and selection authorities. They may open or restrict access to occupational specialties, advanced courses, field assignments, deployment, promotion, and command. Gatekeeping does not require an explicit policy excluding women. It can operate through routine judgments about suitability, competence, risk, welfare, availability, and organizational need.</w:t>
      </w:r>
    </w:p>
    <w:p w14:paraId="08917488" w14:textId="77777777" w:rsidR="008314A7" w:rsidRDefault="008314A7" w:rsidP="008314A7">
      <w:pPr>
        <w:pStyle w:val="NormalWeb"/>
        <w:shd w:val="clear" w:color="auto" w:fill="FFFFFF"/>
        <w:spacing w:before="0" w:beforeAutospacing="0" w:after="0" w:afterAutospacing="0" w:line="480" w:lineRule="auto"/>
        <w:ind w:firstLine="720"/>
        <w:rPr>
          <w:color w:val="000000"/>
          <w:sz w:val="27"/>
          <w:szCs w:val="27"/>
        </w:rPr>
      </w:pPr>
      <w:r>
        <w:rPr>
          <w:rFonts w:ascii="Cambria" w:hAnsi="Cambria"/>
          <w:color w:val="000000"/>
          <w:sz w:val="22"/>
          <w:szCs w:val="22"/>
        </w:rPr>
        <w:lastRenderedPageBreak/>
        <w:t>The framework treats gatekeeping as a process rather than a synonym for discrimination. A vacancy, medical requirement, course prerequisite, mission mandate, or command decision may be legitimate and operationally necessary. Its gendered implications depend on how the criterion is defined and applied. The relevant questions are whether individuals are assessed against role-specific standards, whether preferences and constraints are established rather than presumed, whether comparable criteria are applied to women and men, and what opportunities are opened or closed by the decision.</w:t>
      </w:r>
    </w:p>
    <w:p w14:paraId="4F30422C" w14:textId="77777777" w:rsidR="008314A7" w:rsidRDefault="008314A7" w:rsidP="008314A7">
      <w:pPr>
        <w:pStyle w:val="artifact-docx-previewheading2"/>
        <w:shd w:val="clear" w:color="auto" w:fill="FFFFFF"/>
        <w:spacing w:before="0" w:beforeAutospacing="0" w:after="0" w:afterAutospacing="0" w:line="480" w:lineRule="auto"/>
        <w:rPr>
          <w:color w:val="000000"/>
          <w:sz w:val="27"/>
          <w:szCs w:val="27"/>
        </w:rPr>
      </w:pPr>
      <w:r>
        <w:rPr>
          <w:rFonts w:ascii="Calibri" w:hAnsi="Calibri" w:cs="Calibri"/>
          <w:b/>
          <w:bCs/>
          <w:color w:val="4F81BD"/>
          <w:sz w:val="26"/>
          <w:szCs w:val="26"/>
        </w:rPr>
        <w:t>Supporting Mechanisms</w:t>
      </w:r>
    </w:p>
    <w:p w14:paraId="096777BE" w14:textId="77777777" w:rsidR="008314A7" w:rsidRDefault="008314A7" w:rsidP="008314A7">
      <w:pPr>
        <w:pStyle w:val="NormalWeb"/>
        <w:shd w:val="clear" w:color="auto" w:fill="FFFFFF"/>
        <w:spacing w:before="0" w:beforeAutospacing="0" w:after="0" w:afterAutospacing="0" w:line="480" w:lineRule="auto"/>
        <w:ind w:firstLine="720"/>
        <w:rPr>
          <w:color w:val="000000"/>
          <w:sz w:val="27"/>
          <w:szCs w:val="27"/>
        </w:rPr>
      </w:pPr>
      <w:r>
        <w:rPr>
          <w:rFonts w:ascii="Cambria" w:hAnsi="Cambria"/>
          <w:color w:val="000000"/>
          <w:sz w:val="22"/>
          <w:szCs w:val="22"/>
        </w:rPr>
        <w:t>Gendered competence and readiness judgments concern how organizational actors interpret physical ability, resilience, experience, and professional suitability. Where combat-oriented experience is treated as evidence of general military competence, personnel with less access to field assignments may later appear less prepared for deployment or leadership. The framework does not assume that women lack or possess particular capabilities. It examines how competence is assessed, what evidence is recognized, and whether opportunities to acquire that evidence are distributed through gendered assumptions.</w:t>
      </w:r>
    </w:p>
    <w:p w14:paraId="61695AC2" w14:textId="77777777" w:rsidR="008314A7" w:rsidRDefault="008314A7" w:rsidP="008314A7">
      <w:pPr>
        <w:pStyle w:val="NormalWeb"/>
        <w:shd w:val="clear" w:color="auto" w:fill="FFFFFF"/>
        <w:spacing w:before="0" w:beforeAutospacing="0" w:after="0" w:afterAutospacing="0" w:line="480" w:lineRule="auto"/>
        <w:ind w:firstLine="720"/>
        <w:rPr>
          <w:color w:val="000000"/>
          <w:sz w:val="27"/>
          <w:szCs w:val="27"/>
        </w:rPr>
      </w:pPr>
      <w:r>
        <w:rPr>
          <w:rFonts w:ascii="Cambria" w:hAnsi="Cambria"/>
          <w:color w:val="000000"/>
          <w:sz w:val="22"/>
          <w:szCs w:val="22"/>
        </w:rPr>
        <w:t>Protective paternalism can arise when concern for women’s safety or welfare supports restrictions on difficult or high-risk assignments (Glick &amp; Fiske, 1996). Protection may be appropriate in an individual case, especially where medical needs or documented risks are present. It becomes analytically significant when women are treated as a category requiring protection before their qualifications, willingness, and circumstances are assessed. A decision intended to protect can therefore coexist with restricted access to operational experience.</w:t>
      </w:r>
    </w:p>
    <w:p w14:paraId="21CBC129" w14:textId="77777777" w:rsidR="008314A7" w:rsidRDefault="008314A7" w:rsidP="008314A7">
      <w:pPr>
        <w:pStyle w:val="NormalWeb"/>
        <w:shd w:val="clear" w:color="auto" w:fill="FFFFFF"/>
        <w:spacing w:before="0" w:beforeAutospacing="0" w:after="0" w:afterAutospacing="0" w:line="480" w:lineRule="auto"/>
        <w:ind w:firstLine="720"/>
        <w:rPr>
          <w:color w:val="000000"/>
          <w:sz w:val="27"/>
          <w:szCs w:val="27"/>
        </w:rPr>
      </w:pPr>
      <w:r>
        <w:rPr>
          <w:rFonts w:ascii="Cambria" w:hAnsi="Cambria"/>
          <w:color w:val="000000"/>
          <w:sz w:val="22"/>
          <w:szCs w:val="22"/>
        </w:rPr>
        <w:t xml:space="preserve">Family responsibility and availability form a related mechanism. Pregnancy, lactation, caregiving, and unwillingness to accept a particular posting may legitimately affect an individual decision. The gendered issue arises when marriage, motherhood, or domestic responsibility is anticipated for women as a group and used to infer future availability. The framework distinguishes </w:t>
      </w:r>
      <w:r>
        <w:rPr>
          <w:rFonts w:ascii="Cambria" w:hAnsi="Cambria"/>
          <w:color w:val="000000"/>
          <w:sz w:val="22"/>
          <w:szCs w:val="22"/>
        </w:rPr>
        <w:lastRenderedPageBreak/>
        <w:t>actual circumstances and expressed preferences from generalized expectations about women’s family roles.</w:t>
      </w:r>
    </w:p>
    <w:p w14:paraId="20BDFEF7" w14:textId="77777777" w:rsidR="008314A7" w:rsidRDefault="008314A7" w:rsidP="008314A7">
      <w:pPr>
        <w:pStyle w:val="NormalWeb"/>
        <w:shd w:val="clear" w:color="auto" w:fill="FFFFFF"/>
        <w:spacing w:before="0" w:beforeAutospacing="0" w:after="0" w:afterAutospacing="0" w:line="480" w:lineRule="auto"/>
        <w:ind w:firstLine="720"/>
        <w:rPr>
          <w:color w:val="000000"/>
          <w:sz w:val="27"/>
          <w:szCs w:val="27"/>
        </w:rPr>
      </w:pPr>
      <w:r>
        <w:rPr>
          <w:rFonts w:ascii="Cambria" w:hAnsi="Cambria"/>
          <w:color w:val="000000"/>
          <w:sz w:val="22"/>
          <w:szCs w:val="22"/>
        </w:rPr>
        <w:t>Tokenism helps explain conditions under which other mechanisms may become more visible. When women remain a small minority, they may experience heightened scrutiny, symbolic visibility, and pressure to represent women as a group (Kanter, 1977). One person’s performance may be generalized more readily, and limited numbers may make familiar occupational patterns harder to challenge. Tokenism is treated here as an organizational condition that can intensify gatekeeping, not as a complete explanation of women’s military experiences.</w:t>
      </w:r>
    </w:p>
    <w:p w14:paraId="33EAFEA2" w14:textId="77777777" w:rsidR="008314A7" w:rsidRDefault="008314A7" w:rsidP="008314A7">
      <w:pPr>
        <w:pStyle w:val="NormalWeb"/>
        <w:shd w:val="clear" w:color="auto" w:fill="FFFFFF"/>
        <w:spacing w:before="0" w:beforeAutospacing="0" w:after="0" w:afterAutospacing="0" w:line="480" w:lineRule="auto"/>
        <w:ind w:firstLine="720"/>
        <w:rPr>
          <w:color w:val="000000"/>
          <w:sz w:val="27"/>
          <w:szCs w:val="27"/>
        </w:rPr>
      </w:pPr>
      <w:r>
        <w:rPr>
          <w:rFonts w:ascii="Cambria" w:hAnsi="Cambria"/>
          <w:color w:val="000000"/>
          <w:sz w:val="22"/>
          <w:szCs w:val="22"/>
        </w:rPr>
        <w:t xml:space="preserve">Occupational channeling refers to the concentration of personnel in particular specialties or assignments. In peacekeeping, women may be valued in medical, administrative, logistical, liaison, gender-advisory, or community-engagement functions while remaining less visible in some operational and command pathways. Newby and Sebag’s (2021) concept of </w:t>
      </w:r>
      <w:proofErr w:type="spellStart"/>
      <w:r>
        <w:rPr>
          <w:rFonts w:ascii="Cambria" w:hAnsi="Cambria"/>
          <w:color w:val="000000"/>
          <w:sz w:val="22"/>
          <w:szCs w:val="22"/>
        </w:rPr>
        <w:t>sidestreaming</w:t>
      </w:r>
      <w:proofErr w:type="spellEnd"/>
      <w:r>
        <w:rPr>
          <w:rFonts w:ascii="Cambria" w:hAnsi="Cambria"/>
          <w:color w:val="000000"/>
          <w:sz w:val="22"/>
          <w:szCs w:val="22"/>
        </w:rPr>
        <w:t xml:space="preserve"> captures this form of inclusion without full occupational integration. These concepts do not imply that support work is secondary, that women assigned to it lack agency, or that every specialization is imposed. The analytical question is whether personnel can choose among pathways, move between them through training and experience, and receive appropriate recognition for different forms of service.</w:t>
      </w:r>
    </w:p>
    <w:p w14:paraId="59374978" w14:textId="77777777" w:rsidR="008314A7" w:rsidRDefault="008314A7" w:rsidP="008314A7">
      <w:pPr>
        <w:pStyle w:val="NormalWeb"/>
        <w:shd w:val="clear" w:color="auto" w:fill="FFFFFF"/>
        <w:spacing w:before="0" w:beforeAutospacing="0" w:after="0" w:afterAutospacing="0" w:line="480" w:lineRule="auto"/>
        <w:ind w:firstLine="720"/>
        <w:rPr>
          <w:color w:val="000000"/>
          <w:sz w:val="27"/>
          <w:szCs w:val="27"/>
        </w:rPr>
      </w:pPr>
      <w:r>
        <w:rPr>
          <w:rFonts w:ascii="Cambria" w:hAnsi="Cambria"/>
          <w:color w:val="000000"/>
          <w:sz w:val="22"/>
          <w:szCs w:val="22"/>
        </w:rPr>
        <w:t>The added burden concerns expectations that women peacekeepers perform their formal military duties while also providing access to local women, representing gender inclusion, supporting community engagement, and demonstrating women’s operational value (</w:t>
      </w:r>
      <w:proofErr w:type="spellStart"/>
      <w:r>
        <w:rPr>
          <w:rFonts w:ascii="Cambria" w:hAnsi="Cambria"/>
          <w:color w:val="000000"/>
          <w:sz w:val="22"/>
          <w:szCs w:val="22"/>
        </w:rPr>
        <w:t>Carreiras</w:t>
      </w:r>
      <w:proofErr w:type="spellEnd"/>
      <w:r>
        <w:rPr>
          <w:rFonts w:ascii="Cambria" w:hAnsi="Cambria"/>
          <w:color w:val="000000"/>
          <w:sz w:val="22"/>
          <w:szCs w:val="22"/>
        </w:rPr>
        <w:t>, 2010; Henry, 2010; Wilén, 2020). Such contributions can be important in particular mission contexts. They become burdensome when treated as natural female capacities or additional responsibilities that are not institutionally recognized. The concept therefore distinguishes context-specific expertise from assumptions that all women should perform the same relational functions.</w:t>
      </w:r>
    </w:p>
    <w:p w14:paraId="390A5869" w14:textId="77777777" w:rsidR="008314A7" w:rsidRDefault="008314A7" w:rsidP="008314A7">
      <w:pPr>
        <w:pStyle w:val="artifact-docx-previewheading2"/>
        <w:shd w:val="clear" w:color="auto" w:fill="FFFFFF"/>
        <w:spacing w:before="0" w:beforeAutospacing="0" w:after="0" w:afterAutospacing="0" w:line="480" w:lineRule="auto"/>
        <w:rPr>
          <w:color w:val="000000"/>
          <w:sz w:val="27"/>
          <w:szCs w:val="27"/>
        </w:rPr>
      </w:pPr>
      <w:r>
        <w:rPr>
          <w:rFonts w:ascii="Calibri" w:hAnsi="Calibri" w:cs="Calibri"/>
          <w:b/>
          <w:bCs/>
          <w:color w:val="4F81BD"/>
          <w:sz w:val="26"/>
          <w:szCs w:val="26"/>
        </w:rPr>
        <w:t>A Proposed Career Pathway</w:t>
      </w:r>
    </w:p>
    <w:p w14:paraId="5CEE897D" w14:textId="77777777" w:rsidR="008314A7" w:rsidRDefault="008314A7" w:rsidP="008314A7">
      <w:pPr>
        <w:pStyle w:val="NormalWeb"/>
        <w:shd w:val="clear" w:color="auto" w:fill="FFFFFF"/>
        <w:spacing w:before="0" w:beforeAutospacing="0" w:after="0" w:afterAutospacing="0" w:line="480" w:lineRule="auto"/>
        <w:ind w:firstLine="720"/>
        <w:rPr>
          <w:color w:val="000000"/>
          <w:sz w:val="27"/>
          <w:szCs w:val="27"/>
        </w:rPr>
      </w:pPr>
      <w:r>
        <w:rPr>
          <w:rFonts w:ascii="Cambria" w:hAnsi="Cambria"/>
          <w:color w:val="000000"/>
          <w:sz w:val="22"/>
          <w:szCs w:val="22"/>
        </w:rPr>
        <w:lastRenderedPageBreak/>
        <w:t>The framework brings these mechanisms together through a proposed career pathway. Recruitment establishes the initial personnel pool. Training and specialization influence qualifications. Role allocation affects access to operational experience. Prior experience and completed courses may then enter assessments of readiness for deployment and command. A restriction or opportunity at one stage may therefore alter the options available at another. This is a theoretical sequence to be examined through participants’ accounts, not an empirically verified causal chain for every service member.</w:t>
      </w:r>
    </w:p>
    <w:p w14:paraId="461D55FA" w14:textId="77777777" w:rsidR="008314A7" w:rsidRDefault="008314A7" w:rsidP="008314A7">
      <w:pPr>
        <w:pStyle w:val="NormalWeb"/>
        <w:shd w:val="clear" w:color="auto" w:fill="FFFFFF"/>
        <w:spacing w:before="0" w:beforeAutospacing="0" w:after="0" w:afterAutospacing="0" w:line="480" w:lineRule="auto"/>
        <w:jc w:val="center"/>
        <w:rPr>
          <w:color w:val="000000"/>
          <w:sz w:val="27"/>
          <w:szCs w:val="27"/>
        </w:rPr>
      </w:pPr>
      <w:r>
        <w:rPr>
          <w:rFonts w:ascii="Cambria" w:hAnsi="Cambria"/>
          <w:b/>
          <w:bCs/>
          <w:color w:val="000000"/>
          <w:sz w:val="22"/>
          <w:szCs w:val="22"/>
        </w:rPr>
        <w:t>Figure 1. Proposed Military Career Pathway</w:t>
      </w:r>
    </w:p>
    <w:p w14:paraId="6E78424A" w14:textId="77777777" w:rsidR="008314A7" w:rsidRDefault="008314A7" w:rsidP="008314A7">
      <w:pPr>
        <w:pStyle w:val="NormalWeb"/>
        <w:shd w:val="clear" w:color="auto" w:fill="FFFFFF"/>
        <w:spacing w:before="0" w:beforeAutospacing="0" w:after="0" w:afterAutospacing="0"/>
        <w:jc w:val="center"/>
        <w:rPr>
          <w:color w:val="000000"/>
          <w:sz w:val="27"/>
          <w:szCs w:val="27"/>
        </w:rPr>
      </w:pPr>
      <w:r>
        <w:rPr>
          <w:rFonts w:ascii="Cambria" w:hAnsi="Cambria"/>
          <w:color w:val="000000"/>
          <w:sz w:val="22"/>
          <w:szCs w:val="22"/>
        </w:rPr>
        <w:t>Recruitment → Training → Role allocation → Operational experience → Deployment and command</w:t>
      </w:r>
    </w:p>
    <w:p w14:paraId="1694155C" w14:textId="77777777" w:rsidR="008314A7" w:rsidRDefault="008314A7" w:rsidP="008314A7">
      <w:pPr>
        <w:pStyle w:val="NormalWeb"/>
        <w:shd w:val="clear" w:color="auto" w:fill="FFFFFF"/>
        <w:spacing w:before="0" w:beforeAutospacing="0" w:after="0" w:afterAutospacing="0"/>
        <w:rPr>
          <w:color w:val="000000"/>
          <w:sz w:val="27"/>
          <w:szCs w:val="27"/>
        </w:rPr>
      </w:pPr>
      <w:r>
        <w:rPr>
          <w:rFonts w:ascii="Cambria" w:hAnsi="Cambria"/>
          <w:i/>
          <w:iCs/>
          <w:color w:val="000000"/>
          <w:sz w:val="22"/>
          <w:szCs w:val="22"/>
        </w:rPr>
        <w:t>Note. The arrows represent proposed organizational connections. Institutional need, merit, readiness, availability, operational risk, and individual preference may be considered at every stage.</w:t>
      </w:r>
    </w:p>
    <w:p w14:paraId="4A04234B" w14:textId="77777777" w:rsidR="008314A7" w:rsidRDefault="008314A7" w:rsidP="008314A7">
      <w:pPr>
        <w:pStyle w:val="artifact-docx-previewheading2"/>
        <w:shd w:val="clear" w:color="auto" w:fill="FFFFFF"/>
        <w:spacing w:before="0" w:beforeAutospacing="0" w:after="0" w:afterAutospacing="0" w:line="480" w:lineRule="auto"/>
        <w:rPr>
          <w:color w:val="000000"/>
          <w:sz w:val="27"/>
          <w:szCs w:val="27"/>
        </w:rPr>
      </w:pPr>
      <w:r>
        <w:rPr>
          <w:rFonts w:ascii="Calibri" w:hAnsi="Calibri" w:cs="Calibri"/>
          <w:b/>
          <w:bCs/>
          <w:color w:val="4F81BD"/>
          <w:sz w:val="26"/>
          <w:szCs w:val="26"/>
        </w:rPr>
        <w:t>Analytical Expectations and Evidentiary Boundaries</w:t>
      </w:r>
    </w:p>
    <w:p w14:paraId="1BCAC8EB" w14:textId="77777777" w:rsidR="008314A7" w:rsidRDefault="008314A7" w:rsidP="008314A7">
      <w:pPr>
        <w:pStyle w:val="NormalWeb"/>
        <w:shd w:val="clear" w:color="auto" w:fill="FFFFFF"/>
        <w:spacing w:before="0" w:beforeAutospacing="0" w:after="0" w:afterAutospacing="0" w:line="480" w:lineRule="auto"/>
        <w:ind w:firstLine="720"/>
        <w:rPr>
          <w:color w:val="000000"/>
          <w:sz w:val="27"/>
          <w:szCs w:val="27"/>
        </w:rPr>
      </w:pPr>
      <w:r>
        <w:rPr>
          <w:rFonts w:ascii="Cambria" w:hAnsi="Cambria"/>
          <w:color w:val="000000"/>
          <w:sz w:val="22"/>
          <w:szCs w:val="22"/>
        </w:rPr>
        <w:t>The framework guides the analysis through four expectations. First, gendered opportunity may become visible before deployment selection, particularly in assessments of occupational fit, readiness, and risk. Second, officers may justify decisions through professional language such as merit, institutional need, protection, availability, and mission requirements rather than through explicit statements of exclusion. Third, favorable or protective descriptions of women may coexist with restrictions on particular assignments. Fourth, participants may connect earlier qualifications and occupational experience with later consideration for deployment or command.</w:t>
      </w:r>
    </w:p>
    <w:p w14:paraId="4D8A9C96" w14:textId="77777777" w:rsidR="008314A7" w:rsidRDefault="008314A7" w:rsidP="008314A7">
      <w:pPr>
        <w:pStyle w:val="NormalWeb"/>
        <w:shd w:val="clear" w:color="auto" w:fill="FFFFFF"/>
        <w:spacing w:before="0" w:beforeAutospacing="0" w:after="0" w:afterAutospacing="0" w:line="480" w:lineRule="auto"/>
        <w:ind w:firstLine="720"/>
        <w:rPr>
          <w:color w:val="000000"/>
          <w:sz w:val="27"/>
          <w:szCs w:val="27"/>
        </w:rPr>
      </w:pPr>
      <w:r>
        <w:rPr>
          <w:rFonts w:ascii="Cambria" w:hAnsi="Cambria"/>
          <w:color w:val="000000"/>
          <w:sz w:val="22"/>
          <w:szCs w:val="22"/>
        </w:rPr>
        <w:t>These expectations organize interpretation; they are not findings established in advance. The interviews can provide evidence of officers’ reasoning, reported practices, and explicit connections among career stages. Separate accounts of different stages are not combined into a fictional individual trajectory. Where participants do not document a linked decision sequence, cumulative effects remain an analytical proposition. Demonstrating effects on deployment rates, promotion, or command would require longitudinal career histories, training and selection records, or retrospective accounts that clearly connect an earlier decision with a later outcome.</w:t>
      </w:r>
    </w:p>
    <w:p w14:paraId="5EA7CE9A" w14:textId="59A60FB1" w:rsidR="00370B8D" w:rsidRPr="00370B8D" w:rsidRDefault="00370B8D" w:rsidP="008314A7">
      <w:pPr>
        <w:pStyle w:val="artifact-docx-previewtitle"/>
        <w:shd w:val="clear" w:color="auto" w:fill="FFFFFF"/>
        <w:spacing w:before="0" w:beforeAutospacing="0" w:after="0" w:afterAutospacing="0"/>
        <w:ind w:firstLine="720"/>
        <w:jc w:val="center"/>
        <w:rPr>
          <w:color w:val="000000"/>
          <w:sz w:val="27"/>
          <w:szCs w:val="27"/>
        </w:rPr>
      </w:pPr>
      <w:r w:rsidRPr="00370B8D">
        <w:rPr>
          <w:rFonts w:ascii="Calibri" w:hAnsi="Calibri" w:cs="Calibri"/>
          <w:b/>
          <w:bCs/>
          <w:color w:val="17365D"/>
          <w:sz w:val="52"/>
          <w:szCs w:val="52"/>
        </w:rPr>
        <w:lastRenderedPageBreak/>
        <w:t>Methods</w:t>
      </w:r>
    </w:p>
    <w:p w14:paraId="66ADE161" w14:textId="77777777" w:rsidR="00370B8D" w:rsidRPr="00370B8D" w:rsidRDefault="00370B8D" w:rsidP="00370B8D">
      <w:pPr>
        <w:shd w:val="clear" w:color="auto" w:fill="FFFFFF"/>
        <w:jc w:val="center"/>
        <w:rPr>
          <w:color w:val="000000"/>
          <w:sz w:val="27"/>
          <w:szCs w:val="27"/>
        </w:rPr>
      </w:pPr>
      <w:r w:rsidRPr="00370B8D">
        <w:rPr>
          <w:b/>
          <w:bCs/>
          <w:color w:val="000000"/>
        </w:rPr>
        <w:t xml:space="preserve">Qualitative Case Study of Gendered Military Decision Making in the Kenya </w:t>
      </w:r>
      <w:proofErr w:type="spellStart"/>
      <w:r w:rsidRPr="00370B8D">
        <w:rPr>
          <w:b/>
          <w:bCs/>
          <w:color w:val="000000"/>
        </w:rPr>
        <w:t>Defence</w:t>
      </w:r>
      <w:proofErr w:type="spellEnd"/>
      <w:r w:rsidRPr="00370B8D">
        <w:rPr>
          <w:b/>
          <w:bCs/>
          <w:color w:val="000000"/>
        </w:rPr>
        <w:t xml:space="preserve"> Forces</w:t>
      </w:r>
    </w:p>
    <w:p w14:paraId="37AC349C" w14:textId="77777777" w:rsidR="00370B8D" w:rsidRPr="00370B8D" w:rsidRDefault="00370B8D" w:rsidP="00370B8D">
      <w:pPr>
        <w:shd w:val="clear" w:color="auto" w:fill="FFFFFF"/>
        <w:jc w:val="both"/>
        <w:rPr>
          <w:color w:val="000000"/>
          <w:sz w:val="27"/>
          <w:szCs w:val="27"/>
        </w:rPr>
      </w:pPr>
      <w:r w:rsidRPr="00370B8D">
        <w:rPr>
          <w:rFonts w:ascii="Calibri" w:hAnsi="Calibri" w:cs="Calibri"/>
          <w:b/>
          <w:bCs/>
          <w:color w:val="365F91"/>
          <w:sz w:val="28"/>
          <w:szCs w:val="28"/>
        </w:rPr>
        <w:t>Research Design</w:t>
      </w:r>
    </w:p>
    <w:p w14:paraId="646B0D80" w14:textId="77777777" w:rsidR="00370B8D" w:rsidRPr="00370B8D" w:rsidRDefault="00370B8D" w:rsidP="00370B8D">
      <w:pPr>
        <w:shd w:val="clear" w:color="auto" w:fill="FFFFFF"/>
        <w:ind w:firstLine="432"/>
        <w:jc w:val="both"/>
        <w:rPr>
          <w:color w:val="000000"/>
          <w:sz w:val="27"/>
          <w:szCs w:val="27"/>
        </w:rPr>
      </w:pPr>
      <w:r w:rsidRPr="00370B8D">
        <w:rPr>
          <w:rFonts w:ascii="Cambria" w:hAnsi="Cambria"/>
          <w:color w:val="000000"/>
          <w:sz w:val="22"/>
        </w:rPr>
        <w:t xml:space="preserve">This study uses a qualitative case study design to examine how gender shapes recruitment, training, role allocation, operational experience, and deployment or command decisions within the Kenya </w:t>
      </w:r>
      <w:proofErr w:type="spellStart"/>
      <w:r w:rsidRPr="00370B8D">
        <w:rPr>
          <w:rFonts w:ascii="Cambria" w:hAnsi="Cambria"/>
          <w:color w:val="000000"/>
          <w:sz w:val="22"/>
        </w:rPr>
        <w:t>Defence</w:t>
      </w:r>
      <w:proofErr w:type="spellEnd"/>
      <w:r w:rsidRPr="00370B8D">
        <w:rPr>
          <w:rFonts w:ascii="Cambria" w:hAnsi="Cambria"/>
          <w:color w:val="000000"/>
          <w:sz w:val="22"/>
        </w:rPr>
        <w:t xml:space="preserve"> Forces (KDF) for United Nations peacekeeping missions. A qualitative design is appropriate because the study seeks to understand how military personnel interpret organizational criteria, assess readiness and suitability, and justify personnel decisions in practice. These processes cannot be understood fully through deployment statistics or formal policy documents alone (George &amp; Bennett, 2005; Yin, 2018).</w:t>
      </w:r>
    </w:p>
    <w:p w14:paraId="79F1D69E" w14:textId="77777777" w:rsidR="00370B8D" w:rsidRPr="00370B8D" w:rsidRDefault="00370B8D" w:rsidP="00370B8D">
      <w:pPr>
        <w:shd w:val="clear" w:color="auto" w:fill="FFFFFF"/>
        <w:ind w:firstLine="432"/>
        <w:jc w:val="both"/>
        <w:rPr>
          <w:color w:val="000000"/>
          <w:sz w:val="27"/>
          <w:szCs w:val="27"/>
        </w:rPr>
      </w:pPr>
      <w:r w:rsidRPr="00370B8D">
        <w:rPr>
          <w:rFonts w:ascii="Cambria" w:hAnsi="Cambria"/>
          <w:color w:val="000000"/>
          <w:sz w:val="22"/>
        </w:rPr>
        <w:t>The unit of analysis is organizational decision making. The study does not seek to estimate the prevalence of particular attitudes across the KDF. Instead, it examines how officers describe the criteria used at key career stages and how apparently neutral judgments may produce gendered outcomes. Interview accounts are therefore treated as evidence of institutional reasoning: the categories, assumptions, and professional language through which decisions are explained and defended.</w:t>
      </w:r>
    </w:p>
    <w:p w14:paraId="4DC3538C" w14:textId="77777777" w:rsidR="00370B8D" w:rsidRPr="00370B8D" w:rsidRDefault="00370B8D" w:rsidP="00370B8D">
      <w:pPr>
        <w:shd w:val="clear" w:color="auto" w:fill="FFFFFF"/>
        <w:ind w:firstLine="432"/>
        <w:jc w:val="both"/>
        <w:rPr>
          <w:color w:val="000000"/>
          <w:sz w:val="27"/>
          <w:szCs w:val="27"/>
        </w:rPr>
      </w:pPr>
      <w:r w:rsidRPr="00370B8D">
        <w:rPr>
          <w:rFonts w:ascii="Cambria" w:hAnsi="Cambria"/>
          <w:color w:val="000000"/>
          <w:sz w:val="22"/>
        </w:rPr>
        <w:t xml:space="preserve">The design follows the career process developed in the theoretical framework: recruitment, training, role allocation, operational experience, and deployment or command. This sequence directs attention to decisions made before peacekeeping selection. It also makes it possible to examine how early assignments shape the experience later treated as evidence of readiness, </w:t>
      </w:r>
      <w:proofErr w:type="spellStart"/>
      <w:r w:rsidRPr="00370B8D">
        <w:rPr>
          <w:rFonts w:ascii="Cambria" w:hAnsi="Cambria"/>
          <w:color w:val="000000"/>
          <w:sz w:val="22"/>
        </w:rPr>
        <w:t>deployability</w:t>
      </w:r>
      <w:proofErr w:type="spellEnd"/>
      <w:r w:rsidRPr="00370B8D">
        <w:rPr>
          <w:rFonts w:ascii="Cambria" w:hAnsi="Cambria"/>
          <w:color w:val="000000"/>
          <w:sz w:val="22"/>
        </w:rPr>
        <w:t>, or leadership potential.</w:t>
      </w:r>
    </w:p>
    <w:p w14:paraId="59690E21" w14:textId="77777777" w:rsidR="00370B8D" w:rsidRPr="00370B8D" w:rsidRDefault="00370B8D" w:rsidP="00370B8D">
      <w:pPr>
        <w:shd w:val="clear" w:color="auto" w:fill="FFFFFF"/>
        <w:jc w:val="both"/>
        <w:rPr>
          <w:color w:val="000000"/>
          <w:sz w:val="27"/>
          <w:szCs w:val="27"/>
        </w:rPr>
      </w:pPr>
      <w:r w:rsidRPr="00370B8D">
        <w:rPr>
          <w:rFonts w:ascii="Calibri" w:hAnsi="Calibri" w:cs="Calibri"/>
          <w:b/>
          <w:bCs/>
          <w:color w:val="365F91"/>
          <w:sz w:val="28"/>
          <w:szCs w:val="28"/>
        </w:rPr>
        <w:t>Case Selection and Institutional Context</w:t>
      </w:r>
    </w:p>
    <w:p w14:paraId="2E4FF3E3" w14:textId="77777777" w:rsidR="00370B8D" w:rsidRPr="00370B8D" w:rsidRDefault="00370B8D" w:rsidP="00370B8D">
      <w:pPr>
        <w:shd w:val="clear" w:color="auto" w:fill="FFFFFF"/>
        <w:ind w:firstLine="432"/>
        <w:jc w:val="both"/>
        <w:rPr>
          <w:color w:val="000000"/>
          <w:sz w:val="27"/>
          <w:szCs w:val="27"/>
        </w:rPr>
      </w:pPr>
      <w:r w:rsidRPr="00370B8D">
        <w:rPr>
          <w:rFonts w:ascii="Cambria" w:hAnsi="Cambria"/>
          <w:color w:val="000000"/>
          <w:sz w:val="22"/>
        </w:rPr>
        <w:t>I selected Kenya for both analytical and practical reasons. The KDF has sustained experience in United Nations and regional peace operations, making it an appropriate setting for examining how a troop-contributing country translates international commitments on women, peace, and security into national military practice. Kenyan officers have direct experience with the recruitment, preparation, assignment, and deployment of personnel for international missions.</w:t>
      </w:r>
    </w:p>
    <w:p w14:paraId="4C4C1485" w14:textId="77777777" w:rsidR="00370B8D" w:rsidRPr="00370B8D" w:rsidRDefault="00370B8D" w:rsidP="00370B8D">
      <w:pPr>
        <w:shd w:val="clear" w:color="auto" w:fill="FFFFFF"/>
        <w:ind w:firstLine="432"/>
        <w:jc w:val="both"/>
        <w:rPr>
          <w:color w:val="000000"/>
          <w:sz w:val="27"/>
          <w:szCs w:val="27"/>
        </w:rPr>
      </w:pPr>
      <w:r w:rsidRPr="00370B8D">
        <w:rPr>
          <w:rFonts w:ascii="Cambria" w:hAnsi="Cambria"/>
          <w:color w:val="000000"/>
          <w:sz w:val="22"/>
        </w:rPr>
        <w:t>Kenya is also an analytically useful case because formal commitments to gender inclusion coexist with a military institution in which women remain a minority, particularly in operational and command pathways. This policy-practice tension allows the study to examine how gendered outcomes may be reproduced through routine organizational judgments even where formal policy does not explicitly exclude women. The case is illustrative rather than statistically representative of all troop-contributing countries. Its value lies in providing detailed evidence about the institutional mechanisms connecting gendered assumptions to career and deployment outcomes.</w:t>
      </w:r>
    </w:p>
    <w:p w14:paraId="1DBC0FFB" w14:textId="77777777" w:rsidR="00370B8D" w:rsidRPr="00370B8D" w:rsidRDefault="00370B8D" w:rsidP="00370B8D">
      <w:pPr>
        <w:shd w:val="clear" w:color="auto" w:fill="FFFFFF"/>
        <w:ind w:firstLine="432"/>
        <w:jc w:val="both"/>
        <w:rPr>
          <w:color w:val="000000"/>
          <w:sz w:val="27"/>
          <w:szCs w:val="27"/>
        </w:rPr>
      </w:pPr>
      <w:r w:rsidRPr="00370B8D">
        <w:rPr>
          <w:rFonts w:ascii="Cambria" w:hAnsi="Cambria"/>
          <w:color w:val="000000"/>
          <w:sz w:val="22"/>
        </w:rPr>
        <w:t>My Kenyan background also influenced the choice of case. I was familiar with the country’s social and cultural context and could interpret locally specific language, expectations, and institutional references. This familiarity supported rapport and made a difficult-to-access population more reachable. However, the KDF remains a closed and hierarchical institution. Formal access to officers, especially senior officers and women in operational roles, was limited. The case was therefore selected not because access was easy, but because it was substantively important and because my contextual knowledge and personal networks made a feasible, ethically appropriate study possible.</w:t>
      </w:r>
    </w:p>
    <w:p w14:paraId="52BDC59B" w14:textId="77777777" w:rsidR="00370B8D" w:rsidRPr="00370B8D" w:rsidRDefault="00370B8D" w:rsidP="00370B8D">
      <w:pPr>
        <w:shd w:val="clear" w:color="auto" w:fill="FFFFFF"/>
        <w:jc w:val="both"/>
        <w:rPr>
          <w:color w:val="000000"/>
          <w:sz w:val="27"/>
          <w:szCs w:val="27"/>
        </w:rPr>
      </w:pPr>
      <w:r w:rsidRPr="00370B8D">
        <w:rPr>
          <w:rFonts w:ascii="Calibri" w:hAnsi="Calibri" w:cs="Calibri"/>
          <w:b/>
          <w:bCs/>
          <w:color w:val="365F91"/>
          <w:sz w:val="28"/>
          <w:szCs w:val="28"/>
        </w:rPr>
        <w:t>Participants and Recruitment</w:t>
      </w:r>
    </w:p>
    <w:p w14:paraId="5552B8B4" w14:textId="77777777" w:rsidR="00370B8D" w:rsidRPr="00370B8D" w:rsidRDefault="00370B8D" w:rsidP="00370B8D">
      <w:pPr>
        <w:shd w:val="clear" w:color="auto" w:fill="FFFFFF"/>
        <w:ind w:firstLine="432"/>
        <w:jc w:val="both"/>
        <w:rPr>
          <w:color w:val="000000"/>
          <w:sz w:val="27"/>
          <w:szCs w:val="27"/>
        </w:rPr>
      </w:pPr>
      <w:r w:rsidRPr="00370B8D">
        <w:rPr>
          <w:rFonts w:ascii="Cambria" w:hAnsi="Cambria"/>
          <w:color w:val="000000"/>
          <w:sz w:val="22"/>
        </w:rPr>
        <w:t xml:space="preserve">The study draws on 15 semi-structured interviews with Kenyan military personnel who had direct experience of, or close institutional knowledge about, recruitment, training, occupational assignment, operational preparation, or deployment for United Nations peacekeeping missions. Participants included 13 men and 2 women. They held senior and mid-level ranks, including colonels, </w:t>
      </w:r>
      <w:r w:rsidRPr="00370B8D">
        <w:rPr>
          <w:rFonts w:ascii="Cambria" w:hAnsi="Cambria"/>
          <w:color w:val="000000"/>
          <w:sz w:val="22"/>
        </w:rPr>
        <w:lastRenderedPageBreak/>
        <w:t>lieutenant colonels, majors, and one senior officer who did not disclose rank. Participants came from the Kenya Army and Kenya Air Force. Variation in rank, service experience, and peacekeeping involvement enabled the study to examine decision making from more than one organizational position.</w:t>
      </w:r>
    </w:p>
    <w:p w14:paraId="6184B2B9" w14:textId="77777777" w:rsidR="00370B8D" w:rsidRPr="00370B8D" w:rsidRDefault="00370B8D" w:rsidP="00370B8D">
      <w:pPr>
        <w:shd w:val="clear" w:color="auto" w:fill="FFFFFF"/>
        <w:ind w:firstLine="432"/>
        <w:jc w:val="both"/>
        <w:rPr>
          <w:color w:val="000000"/>
          <w:sz w:val="27"/>
          <w:szCs w:val="27"/>
        </w:rPr>
      </w:pPr>
      <w:r w:rsidRPr="00370B8D">
        <w:rPr>
          <w:rFonts w:ascii="Cambria" w:hAnsi="Cambria"/>
          <w:color w:val="000000"/>
          <w:sz w:val="22"/>
        </w:rPr>
        <w:t>Participants were recruited through purposive and snowball sampling. I first approached eligible participants through family and personal networks. Participating officers then referred other officers with relevant knowledge or experience. This approach was necessary because military personnel form a restricted population, public contact information is limited, and trust is important when recruiting participants to discuss sensitive institutional practices. Snowball sampling is particularly useful for reaching elite or difficult-to-access populations, although it can also reproduce the boundaries of existing networks (</w:t>
      </w:r>
      <w:proofErr w:type="spellStart"/>
      <w:r w:rsidRPr="00370B8D">
        <w:rPr>
          <w:rFonts w:ascii="Cambria" w:hAnsi="Cambria"/>
          <w:color w:val="000000"/>
          <w:sz w:val="22"/>
        </w:rPr>
        <w:t>Aberbach</w:t>
      </w:r>
      <w:proofErr w:type="spellEnd"/>
      <w:r w:rsidRPr="00370B8D">
        <w:rPr>
          <w:rFonts w:ascii="Cambria" w:hAnsi="Cambria"/>
          <w:color w:val="000000"/>
          <w:sz w:val="22"/>
        </w:rPr>
        <w:t xml:space="preserve"> &amp; Rockman, 2002; Biernacki &amp; Waldorf, 1981; Noy, 2008).</w:t>
      </w:r>
    </w:p>
    <w:p w14:paraId="3AC93B2C" w14:textId="77777777" w:rsidR="00370B8D" w:rsidRPr="00370B8D" w:rsidRDefault="00370B8D" w:rsidP="00370B8D">
      <w:pPr>
        <w:shd w:val="clear" w:color="auto" w:fill="FFFFFF"/>
        <w:ind w:firstLine="432"/>
        <w:jc w:val="both"/>
        <w:rPr>
          <w:color w:val="000000"/>
          <w:sz w:val="27"/>
          <w:szCs w:val="27"/>
        </w:rPr>
      </w:pPr>
      <w:r w:rsidRPr="00370B8D">
        <w:rPr>
          <w:rFonts w:ascii="Cambria" w:hAnsi="Cambria"/>
          <w:color w:val="000000"/>
          <w:sz w:val="22"/>
        </w:rPr>
        <w:t>Referrals expanded access but did not determine eligibility. Participants needed substantial knowledge of military personnel processes relevant to peacekeeping, and they were not asked to disclose classified information or operationally sensitive details. Recruitment continued across different ranks, service experiences, and levels of peacekeeping involvement to obtain useful variation within the limits of access. I do not claim statistical saturation or representativeness. The sample was sufficient for identifying recurring institutional explanations, disagreements, and mechanisms relevant to the research question.</w:t>
      </w:r>
    </w:p>
    <w:p w14:paraId="54EFEA43" w14:textId="77777777" w:rsidR="00370B8D" w:rsidRPr="00370B8D" w:rsidRDefault="00370B8D" w:rsidP="00370B8D">
      <w:pPr>
        <w:shd w:val="clear" w:color="auto" w:fill="FFFFFF"/>
        <w:ind w:firstLine="432"/>
        <w:jc w:val="both"/>
        <w:rPr>
          <w:color w:val="000000"/>
          <w:sz w:val="27"/>
          <w:szCs w:val="27"/>
        </w:rPr>
      </w:pPr>
      <w:r w:rsidRPr="00370B8D">
        <w:rPr>
          <w:rFonts w:ascii="Cambria" w:hAnsi="Cambria"/>
          <w:color w:val="000000"/>
          <w:sz w:val="22"/>
        </w:rPr>
        <w:t>The sample does not reproduce the gender composition of the KDF or provide equal representation by service branch, rank, or gender. The small number of women is a significant limitation and reflects the difficulty of locating and recruiting women within a male-dominated senior military population. For this reason, the analysis does not make broad claims about differences between men and women. Women officers’ accounts are used as important but limited perspectives and are considered alongside other interviews, policy documents, United Nations materials, and relevant scholarship.</w:t>
      </w:r>
    </w:p>
    <w:p w14:paraId="12FB0008" w14:textId="77777777" w:rsidR="00370B8D" w:rsidRPr="00370B8D" w:rsidRDefault="00370B8D" w:rsidP="00370B8D">
      <w:pPr>
        <w:shd w:val="clear" w:color="auto" w:fill="FFFFFF"/>
        <w:jc w:val="both"/>
        <w:rPr>
          <w:color w:val="000000"/>
          <w:sz w:val="27"/>
          <w:szCs w:val="27"/>
        </w:rPr>
      </w:pPr>
      <w:r w:rsidRPr="00370B8D">
        <w:rPr>
          <w:rFonts w:ascii="Calibri" w:hAnsi="Calibri" w:cs="Calibri"/>
          <w:b/>
          <w:bCs/>
          <w:color w:val="365F91"/>
          <w:sz w:val="28"/>
          <w:szCs w:val="28"/>
        </w:rPr>
        <w:t>Data Collection</w:t>
      </w:r>
    </w:p>
    <w:p w14:paraId="423CF7C4" w14:textId="77777777" w:rsidR="00370B8D" w:rsidRPr="00370B8D" w:rsidRDefault="00370B8D" w:rsidP="00370B8D">
      <w:pPr>
        <w:shd w:val="clear" w:color="auto" w:fill="FFFFFF"/>
        <w:ind w:firstLine="432"/>
        <w:jc w:val="both"/>
        <w:rPr>
          <w:color w:val="000000"/>
          <w:sz w:val="27"/>
          <w:szCs w:val="27"/>
        </w:rPr>
      </w:pPr>
      <w:r w:rsidRPr="00370B8D">
        <w:rPr>
          <w:rFonts w:ascii="Cambria" w:hAnsi="Cambria"/>
          <w:color w:val="000000"/>
          <w:sz w:val="22"/>
        </w:rPr>
        <w:t>I conducted one-on-one, semi-structured interviews using WhatsApp voice or video calls. The platform made it possible to interview participants located in different parts of Kenya or deployed abroad and to schedule interviews around military duties. Interviews lasted approximately 45 to 90 minutes. A common interview guide ensured that all participants addressed the main research topics while allowing follow-up questions when an answer required clarification or raised a relevant issue. Appendix A contains the full interview protocol.</w:t>
      </w:r>
    </w:p>
    <w:p w14:paraId="37F9F145" w14:textId="77777777" w:rsidR="00370B8D" w:rsidRPr="00370B8D" w:rsidRDefault="00370B8D" w:rsidP="00370B8D">
      <w:pPr>
        <w:shd w:val="clear" w:color="auto" w:fill="FFFFFF"/>
        <w:ind w:firstLine="432"/>
        <w:jc w:val="both"/>
        <w:rPr>
          <w:color w:val="000000"/>
          <w:sz w:val="27"/>
          <w:szCs w:val="27"/>
        </w:rPr>
      </w:pPr>
      <w:r w:rsidRPr="00370B8D">
        <w:rPr>
          <w:rFonts w:ascii="Cambria" w:hAnsi="Cambria"/>
          <w:color w:val="000000"/>
          <w:sz w:val="22"/>
        </w:rPr>
        <w:t>Questions examined recruitment needs, training assessments, role allocation, operational readiness, resilience, risk, protection, family responsibilities, availability, gender-specific deployment requirements, and the selection of personnel for peacekeeping missions. Follow-up questions asked participants to distinguish formal policy from common practice, personal judgment, and exceptions. Participants were also asked who made a decision, how it was justified, and what consequences it had for later training, assignment, deployment, or advancement.</w:t>
      </w:r>
    </w:p>
    <w:p w14:paraId="0AA9C075" w14:textId="77777777" w:rsidR="00370B8D" w:rsidRPr="00370B8D" w:rsidRDefault="00370B8D" w:rsidP="00370B8D">
      <w:pPr>
        <w:shd w:val="clear" w:color="auto" w:fill="FFFFFF"/>
        <w:ind w:firstLine="432"/>
        <w:jc w:val="both"/>
        <w:rPr>
          <w:color w:val="000000"/>
          <w:sz w:val="27"/>
          <w:szCs w:val="27"/>
        </w:rPr>
      </w:pPr>
      <w:r w:rsidRPr="00370B8D">
        <w:rPr>
          <w:rFonts w:ascii="Cambria" w:hAnsi="Cambria"/>
          <w:color w:val="000000"/>
          <w:sz w:val="22"/>
        </w:rPr>
        <w:t>With each participant’s explicit consent, interviews were audio-recorded and transcribed verbatim. Transcripts were checked against the recordings for accuracy. Secondary materials, including United Nations reports, KDF and national policy documents, and relevant scholarship, were used to contextualize and triangulate interview accounts. These materials were used to compare official commitments with the practices described by participants, not as substitutes for participants’ accounts.</w:t>
      </w:r>
    </w:p>
    <w:p w14:paraId="2D48FA8F" w14:textId="77777777" w:rsidR="00370B8D" w:rsidRPr="00370B8D" w:rsidRDefault="00370B8D" w:rsidP="00370B8D">
      <w:pPr>
        <w:shd w:val="clear" w:color="auto" w:fill="FFFFFF"/>
        <w:jc w:val="both"/>
        <w:rPr>
          <w:color w:val="000000"/>
          <w:sz w:val="27"/>
          <w:szCs w:val="27"/>
        </w:rPr>
      </w:pPr>
      <w:r w:rsidRPr="00370B8D">
        <w:rPr>
          <w:rFonts w:ascii="Calibri" w:hAnsi="Calibri" w:cs="Calibri"/>
          <w:b/>
          <w:bCs/>
          <w:color w:val="365F91"/>
          <w:sz w:val="28"/>
          <w:szCs w:val="28"/>
        </w:rPr>
        <w:t>Data Analysis</w:t>
      </w:r>
    </w:p>
    <w:p w14:paraId="63C10050" w14:textId="77777777" w:rsidR="00370B8D" w:rsidRPr="00370B8D" w:rsidRDefault="00370B8D" w:rsidP="00370B8D">
      <w:pPr>
        <w:shd w:val="clear" w:color="auto" w:fill="FFFFFF"/>
        <w:ind w:firstLine="432"/>
        <w:jc w:val="both"/>
        <w:rPr>
          <w:color w:val="000000"/>
          <w:sz w:val="27"/>
          <w:szCs w:val="27"/>
        </w:rPr>
      </w:pPr>
      <w:r w:rsidRPr="00370B8D">
        <w:rPr>
          <w:rFonts w:ascii="Cambria" w:hAnsi="Cambria"/>
          <w:color w:val="000000"/>
          <w:sz w:val="22"/>
        </w:rPr>
        <w:t xml:space="preserve">Interview transcripts were analyzed using an interpretive thematic approach informed by the theoretical framework (Braun &amp; Clarke, 2006). The analysis combined deductive attention to gendered organizations, institutional gatekeeping, tokenism, and ambivalent sexism with inductive </w:t>
      </w:r>
      <w:r w:rsidRPr="00370B8D">
        <w:rPr>
          <w:rFonts w:ascii="Cambria" w:hAnsi="Cambria"/>
          <w:color w:val="000000"/>
          <w:sz w:val="22"/>
        </w:rPr>
        <w:lastRenderedPageBreak/>
        <w:t>attention to patterns that emerged from the interviews. The objective was to identify how officers described and justified competence, suitability, readiness, resilience, risk, protection, family responsibility, availability, occupational fit, and deployment suitability.</w:t>
      </w:r>
    </w:p>
    <w:p w14:paraId="7E35D806" w14:textId="77777777" w:rsidR="00370B8D" w:rsidRPr="00370B8D" w:rsidRDefault="00370B8D" w:rsidP="00370B8D">
      <w:pPr>
        <w:shd w:val="clear" w:color="auto" w:fill="FFFFFF"/>
        <w:ind w:firstLine="432"/>
        <w:jc w:val="both"/>
        <w:rPr>
          <w:color w:val="000000"/>
          <w:sz w:val="27"/>
          <w:szCs w:val="27"/>
        </w:rPr>
      </w:pPr>
      <w:r w:rsidRPr="00370B8D">
        <w:rPr>
          <w:rFonts w:ascii="Cambria" w:hAnsi="Cambria"/>
          <w:color w:val="000000"/>
          <w:sz w:val="22"/>
        </w:rPr>
        <w:t>The analysis proceeded in four stages. First, I read each transcript closely and recorded initial observations. Second, I coded passages according to the career stage they addressed: recruitment, training, role allocation, operational experience, or deployment and command. I also coded the criteria and explanations used by participants, including institutional need, merit, physical capacity, family responsibility, safety, operational risk, and availability. Third, I grouped related codes into broader themes and compared them across participants, ranks, service experience, gender, and decision stage. Fourth, I refined the themes by moving between individual excerpts, the theoretical framework, the full career pathway, and relevant documentary sources.</w:t>
      </w:r>
    </w:p>
    <w:p w14:paraId="72AD4BA6" w14:textId="77777777" w:rsidR="00370B8D" w:rsidRPr="00370B8D" w:rsidRDefault="00370B8D" w:rsidP="00370B8D">
      <w:pPr>
        <w:shd w:val="clear" w:color="auto" w:fill="FFFFFF"/>
        <w:ind w:firstLine="432"/>
        <w:jc w:val="both"/>
        <w:rPr>
          <w:color w:val="000000"/>
          <w:sz w:val="27"/>
          <w:szCs w:val="27"/>
        </w:rPr>
      </w:pPr>
      <w:r w:rsidRPr="00370B8D">
        <w:rPr>
          <w:rFonts w:ascii="Cambria" w:hAnsi="Cambria"/>
          <w:color w:val="000000"/>
          <w:sz w:val="22"/>
        </w:rPr>
        <w:t>The analysis distinguished explicit statements about women from gendered assumptions embedded in apparently neutral criteria. Evidence of tokenism included accounts of women’s minority status, exceptional visibility, heightened scrutiny, or the wider consequences attributed to one woman’s performance. Evidence of protective paternalism included supportive or safety-based explanations that restricted women’s access to high-risk or career-enhancing opportunities. Occupational channeling was identified when women were repeatedly associated with medical, administrative, liaison, logistics, gender-advisory, or community-facing work rather than operational or command roles.</w:t>
      </w:r>
    </w:p>
    <w:p w14:paraId="7D3C07AD" w14:textId="77777777" w:rsidR="00370B8D" w:rsidRPr="00370B8D" w:rsidRDefault="00370B8D" w:rsidP="00370B8D">
      <w:pPr>
        <w:shd w:val="clear" w:color="auto" w:fill="FFFFFF"/>
        <w:ind w:firstLine="432"/>
        <w:jc w:val="both"/>
        <w:rPr>
          <w:color w:val="000000"/>
          <w:sz w:val="27"/>
          <w:szCs w:val="27"/>
        </w:rPr>
      </w:pPr>
      <w:r w:rsidRPr="00370B8D">
        <w:rPr>
          <w:rFonts w:ascii="Cambria" w:hAnsi="Cambria"/>
          <w:color w:val="000000"/>
          <w:sz w:val="22"/>
        </w:rPr>
        <w:t>Interview statements were not treated as objective descriptions of the institution. They were analyzed as accounts shaped by professional norms, institutional interests, and the interview setting (Charmaz, 2014). I considered both what participants said and how they justified decisions. I also examined contradictory and disconfirming evidence, including examples in which participants rejected gendered assumptions or described women succeeding in operational roles.</w:t>
      </w:r>
    </w:p>
    <w:p w14:paraId="02FF791A" w14:textId="77777777" w:rsidR="00370B8D" w:rsidRPr="00370B8D" w:rsidRDefault="00370B8D" w:rsidP="00370B8D">
      <w:pPr>
        <w:shd w:val="clear" w:color="auto" w:fill="FFFFFF"/>
        <w:ind w:firstLine="432"/>
        <w:jc w:val="both"/>
        <w:rPr>
          <w:color w:val="000000"/>
          <w:sz w:val="27"/>
          <w:szCs w:val="27"/>
        </w:rPr>
      </w:pPr>
      <w:r w:rsidRPr="00370B8D">
        <w:rPr>
          <w:rFonts w:ascii="Cambria" w:hAnsi="Cambria"/>
          <w:color w:val="000000"/>
          <w:sz w:val="22"/>
        </w:rPr>
        <w:t>The central analytical question was how decisions accumulate. Recruitment accounts were read in relation to later training and role-allocation outcomes, while deployment accounts were examined for references to earlier judgments about suitability, operational experience, and availability. This approach treats peacekeeping deployment as a downstream result of an upstream career-allocation process.</w:t>
      </w:r>
    </w:p>
    <w:p w14:paraId="1DD59AA9" w14:textId="77777777" w:rsidR="00370B8D" w:rsidRPr="00370B8D" w:rsidRDefault="00370B8D" w:rsidP="00370B8D">
      <w:pPr>
        <w:shd w:val="clear" w:color="auto" w:fill="FFFFFF"/>
        <w:jc w:val="both"/>
        <w:rPr>
          <w:color w:val="000000"/>
          <w:sz w:val="27"/>
          <w:szCs w:val="27"/>
        </w:rPr>
      </w:pPr>
      <w:r w:rsidRPr="00370B8D">
        <w:rPr>
          <w:rFonts w:ascii="Calibri" w:hAnsi="Calibri" w:cs="Calibri"/>
          <w:b/>
          <w:bCs/>
          <w:color w:val="365F91"/>
          <w:sz w:val="28"/>
          <w:szCs w:val="28"/>
        </w:rPr>
        <w:t>Ethics and Confidentiality</w:t>
      </w:r>
    </w:p>
    <w:p w14:paraId="269B126D" w14:textId="77777777" w:rsidR="00370B8D" w:rsidRPr="00370B8D" w:rsidRDefault="00370B8D" w:rsidP="00370B8D">
      <w:pPr>
        <w:shd w:val="clear" w:color="auto" w:fill="FFFFFF"/>
        <w:ind w:firstLine="432"/>
        <w:jc w:val="both"/>
        <w:rPr>
          <w:color w:val="000000"/>
          <w:sz w:val="27"/>
          <w:szCs w:val="27"/>
        </w:rPr>
      </w:pPr>
      <w:r w:rsidRPr="00370B8D">
        <w:rPr>
          <w:rFonts w:ascii="Cambria" w:hAnsi="Cambria"/>
          <w:color w:val="000000"/>
          <w:sz w:val="22"/>
        </w:rPr>
        <w:t>The University of Massachusetts Lowell Institutional Review Board approved the study before data collection began (IRB No. 24-125-MAR-EXM; approval date July 19, 2024). Participation was voluntary. All participants provided informed consent and were told that they could decline any question or withdraw without penalty. Interviews did not seek classified information, operational plans, unit-level vulnerabilities, or details that could compromise personnel or missions.</w:t>
      </w:r>
    </w:p>
    <w:p w14:paraId="261E9F97" w14:textId="77777777" w:rsidR="00370B8D" w:rsidRPr="00370B8D" w:rsidRDefault="00370B8D" w:rsidP="00370B8D">
      <w:pPr>
        <w:shd w:val="clear" w:color="auto" w:fill="FFFFFF"/>
        <w:ind w:firstLine="432"/>
        <w:jc w:val="both"/>
        <w:rPr>
          <w:color w:val="000000"/>
          <w:sz w:val="27"/>
          <w:szCs w:val="27"/>
        </w:rPr>
      </w:pPr>
      <w:r w:rsidRPr="00370B8D">
        <w:rPr>
          <w:rFonts w:ascii="Cambria" w:hAnsi="Cambria"/>
          <w:color w:val="000000"/>
          <w:sz w:val="22"/>
        </w:rPr>
        <w:t>Recordings and transcripts were stored on an encrypted, password-protected external drive accessible only to me. Identifying information was removed during transcription. Participants were assigned codes based on rank and interview order, such as Maj1, LtCol1, and Col1. Service branch was not reported alongside individual quotations because combining rank, branch, and peacekeeping experience could increase the risk of identification within a small population of senior officers.</w:t>
      </w:r>
    </w:p>
    <w:p w14:paraId="7FDD1BF9" w14:textId="77777777" w:rsidR="00370B8D" w:rsidRPr="00370B8D" w:rsidRDefault="00370B8D" w:rsidP="00370B8D">
      <w:pPr>
        <w:shd w:val="clear" w:color="auto" w:fill="FFFFFF"/>
        <w:jc w:val="both"/>
        <w:rPr>
          <w:color w:val="000000"/>
          <w:sz w:val="27"/>
          <w:szCs w:val="27"/>
        </w:rPr>
      </w:pPr>
      <w:r w:rsidRPr="00370B8D">
        <w:rPr>
          <w:rFonts w:ascii="Calibri" w:hAnsi="Calibri" w:cs="Calibri"/>
          <w:b/>
          <w:bCs/>
          <w:color w:val="365F91"/>
          <w:sz w:val="28"/>
          <w:szCs w:val="28"/>
        </w:rPr>
        <w:t>Researcher Positionality and Reflexivity</w:t>
      </w:r>
    </w:p>
    <w:p w14:paraId="60872188" w14:textId="77777777" w:rsidR="00370B8D" w:rsidRPr="00370B8D" w:rsidRDefault="00370B8D" w:rsidP="00370B8D">
      <w:pPr>
        <w:shd w:val="clear" w:color="auto" w:fill="FFFFFF"/>
        <w:ind w:firstLine="432"/>
        <w:jc w:val="both"/>
        <w:rPr>
          <w:color w:val="000000"/>
          <w:sz w:val="27"/>
          <w:szCs w:val="27"/>
        </w:rPr>
      </w:pPr>
      <w:r w:rsidRPr="00370B8D">
        <w:rPr>
          <w:rFonts w:ascii="Cambria" w:hAnsi="Cambria"/>
          <w:color w:val="000000"/>
          <w:sz w:val="22"/>
        </w:rPr>
        <w:t>I am Kenyan, and this shared national background shaped both access to the field and my interpretation of the data. Familiarity with Kenyan social and cultural norms helped me understand locally specific expressions, institutional references, and the broader context in which participants described military service. It also supported rapport and trust, particularly because some initial contacts were reached through family and personal networks. In a closed institution where formal access is difficult, this position made the research feasible.</w:t>
      </w:r>
    </w:p>
    <w:p w14:paraId="3B1E44D5" w14:textId="77777777" w:rsidR="00370B8D" w:rsidRPr="00370B8D" w:rsidRDefault="00370B8D" w:rsidP="00370B8D">
      <w:pPr>
        <w:shd w:val="clear" w:color="auto" w:fill="FFFFFF"/>
        <w:ind w:firstLine="432"/>
        <w:jc w:val="both"/>
        <w:rPr>
          <w:color w:val="000000"/>
          <w:sz w:val="27"/>
          <w:szCs w:val="27"/>
        </w:rPr>
      </w:pPr>
      <w:r w:rsidRPr="00370B8D">
        <w:rPr>
          <w:rFonts w:ascii="Cambria" w:hAnsi="Cambria"/>
          <w:color w:val="000000"/>
          <w:sz w:val="22"/>
        </w:rPr>
        <w:t xml:space="preserve">At the same time, being Kenyan did not make me an institutional insider, and shared nationality did not remove differences in rank, gender, professional experience, or relationship to the military. </w:t>
      </w:r>
      <w:r w:rsidRPr="00370B8D">
        <w:rPr>
          <w:rFonts w:ascii="Cambria" w:hAnsi="Cambria"/>
          <w:color w:val="000000"/>
          <w:sz w:val="22"/>
        </w:rPr>
        <w:lastRenderedPageBreak/>
        <w:t>Participants may have assumed that I already understood certain practices, avoided explaining sensitive matters, or presented accounts they considered appropriate for a fellow Kenyan. My own familiarity with the national context could also have made some assumptions appear ordinary or self-evident. I therefore treated positionality as both a methodological resource and a possible source of bias.</w:t>
      </w:r>
    </w:p>
    <w:p w14:paraId="134384D6" w14:textId="77777777" w:rsidR="00370B8D" w:rsidRPr="00370B8D" w:rsidRDefault="00370B8D" w:rsidP="00370B8D">
      <w:pPr>
        <w:shd w:val="clear" w:color="auto" w:fill="FFFFFF"/>
        <w:ind w:firstLine="432"/>
        <w:jc w:val="both"/>
        <w:rPr>
          <w:color w:val="000000"/>
          <w:sz w:val="27"/>
          <w:szCs w:val="27"/>
        </w:rPr>
      </w:pPr>
      <w:r w:rsidRPr="00370B8D">
        <w:rPr>
          <w:rFonts w:ascii="Cambria" w:hAnsi="Cambria"/>
          <w:color w:val="000000"/>
          <w:sz w:val="22"/>
        </w:rPr>
        <w:t>I addressed these risks through reflexive practice during interviewing and analysis. I asked participants to explain institutional terms and decision processes rather than relying on shared assumptions. During coding, I recorded analytical decisions, separated participants’ descriptions from my interpretation, compared accounts across participants and documentary sources, and retained evidence that challenged the emerging argument. Personal networks facilitated contact, but they were not treated as evidence that participants’ claims were accurate or representative.</w:t>
      </w:r>
    </w:p>
    <w:p w14:paraId="204BB6F9" w14:textId="77777777" w:rsidR="00370B8D" w:rsidRPr="00370B8D" w:rsidRDefault="00370B8D" w:rsidP="00370B8D">
      <w:pPr>
        <w:shd w:val="clear" w:color="auto" w:fill="FFFFFF"/>
        <w:jc w:val="both"/>
        <w:rPr>
          <w:color w:val="000000"/>
          <w:sz w:val="27"/>
          <w:szCs w:val="27"/>
        </w:rPr>
      </w:pPr>
      <w:r w:rsidRPr="00370B8D">
        <w:rPr>
          <w:rFonts w:ascii="Calibri" w:hAnsi="Calibri" w:cs="Calibri"/>
          <w:b/>
          <w:bCs/>
          <w:color w:val="365F91"/>
          <w:sz w:val="28"/>
          <w:szCs w:val="28"/>
        </w:rPr>
        <w:t>Analytical Credibility</w:t>
      </w:r>
    </w:p>
    <w:p w14:paraId="13B72EE6" w14:textId="77777777" w:rsidR="00370B8D" w:rsidRPr="00370B8D" w:rsidRDefault="00370B8D" w:rsidP="00370B8D">
      <w:pPr>
        <w:shd w:val="clear" w:color="auto" w:fill="FFFFFF"/>
        <w:ind w:firstLine="432"/>
        <w:jc w:val="both"/>
        <w:rPr>
          <w:color w:val="000000"/>
          <w:sz w:val="27"/>
          <w:szCs w:val="27"/>
        </w:rPr>
      </w:pPr>
      <w:r w:rsidRPr="00370B8D">
        <w:rPr>
          <w:rFonts w:ascii="Cambria" w:hAnsi="Cambria"/>
          <w:color w:val="000000"/>
          <w:sz w:val="22"/>
        </w:rPr>
        <w:t>Several steps strengthened the credibility of the analysis. A common interview guide improved consistency across interviews. Comparison across ranks, service experiences, and decision stages helped distinguish individual opinions from recurring organizational explanations. Interview evidence was triangulated with policy documents, United Nations materials, and prior research. Interpretive decisions were documented, and contradictory or negative cases were considered rather than excluded. These steps do not eliminate bias, but they make the analytical process more transparent and disciplined.</w:t>
      </w:r>
    </w:p>
    <w:p w14:paraId="758EE91F" w14:textId="77777777" w:rsidR="00370B8D" w:rsidRPr="00370B8D" w:rsidRDefault="00370B8D" w:rsidP="00370B8D">
      <w:pPr>
        <w:shd w:val="clear" w:color="auto" w:fill="FFFFFF"/>
        <w:jc w:val="both"/>
        <w:rPr>
          <w:color w:val="000000"/>
          <w:sz w:val="27"/>
          <w:szCs w:val="27"/>
        </w:rPr>
      </w:pPr>
      <w:r w:rsidRPr="00370B8D">
        <w:rPr>
          <w:rFonts w:ascii="Calibri" w:hAnsi="Calibri" w:cs="Calibri"/>
          <w:b/>
          <w:bCs/>
          <w:color w:val="365F91"/>
          <w:sz w:val="28"/>
          <w:szCs w:val="28"/>
        </w:rPr>
        <w:t>Scope and Limitations</w:t>
      </w:r>
    </w:p>
    <w:p w14:paraId="0692339D" w14:textId="77777777" w:rsidR="00370B8D" w:rsidRPr="00370B8D" w:rsidRDefault="00370B8D" w:rsidP="00370B8D">
      <w:pPr>
        <w:shd w:val="clear" w:color="auto" w:fill="FFFFFF"/>
        <w:ind w:firstLine="432"/>
        <w:jc w:val="both"/>
        <w:rPr>
          <w:color w:val="000000"/>
          <w:sz w:val="27"/>
          <w:szCs w:val="27"/>
        </w:rPr>
      </w:pPr>
      <w:r w:rsidRPr="00370B8D">
        <w:rPr>
          <w:rFonts w:ascii="Cambria" w:hAnsi="Cambria"/>
          <w:color w:val="000000"/>
          <w:sz w:val="22"/>
        </w:rPr>
        <w:t>The study has four main limitations. First, the sample is small and includes only two women, so it cannot establish the frequency of the reported practices or represent all KDF personnel. Second, interviews capture participants’ accounts and justifications rather than direct observation of selection boards or access to personnel files. The findings therefore concern how decision making is described, authorized, and made understandable by institutional actors. Third, snowball recruitment may have produced a sample with overlapping professional networks and may have limited access to dissenting perspectives. Fourth, remote interviews may have affected rapport and the level of detail participants were willing to share.</w:t>
      </w:r>
    </w:p>
    <w:p w14:paraId="31D2D059" w14:textId="77777777" w:rsidR="00370B8D" w:rsidRDefault="00370B8D" w:rsidP="00370B8D">
      <w:pPr>
        <w:shd w:val="clear" w:color="auto" w:fill="FFFFFF"/>
        <w:ind w:firstLine="432"/>
        <w:jc w:val="both"/>
        <w:rPr>
          <w:rFonts w:ascii="Cambria" w:hAnsi="Cambria"/>
          <w:color w:val="000000"/>
          <w:sz w:val="22"/>
        </w:rPr>
      </w:pPr>
      <w:r w:rsidRPr="00370B8D">
        <w:rPr>
          <w:rFonts w:ascii="Cambria" w:hAnsi="Cambria"/>
          <w:color w:val="000000"/>
          <w:sz w:val="22"/>
        </w:rPr>
        <w:t>These limitations are consistent with the study’s explanatory purpose. The analysis does not claim that every KDF decision follows the same pattern. Instead, it identifies recurring institutional logics through which formally neutral procedures may produce gendered career consequences. The study supports analytical rather than statistical generalization by showing how organizational actors understand and justify decisions across a military career process and by identifying mechanisms that can be examined in other military and peacekeeping settings.</w:t>
      </w:r>
    </w:p>
    <w:p w14:paraId="62DB9500" w14:textId="77777777" w:rsidR="00A3358E" w:rsidRDefault="00A3358E" w:rsidP="00370B8D">
      <w:pPr>
        <w:shd w:val="clear" w:color="auto" w:fill="FFFFFF"/>
        <w:ind w:firstLine="432"/>
        <w:jc w:val="both"/>
        <w:rPr>
          <w:rFonts w:ascii="Cambria" w:hAnsi="Cambria"/>
          <w:color w:val="000000"/>
          <w:sz w:val="22"/>
        </w:rPr>
      </w:pPr>
    </w:p>
    <w:p w14:paraId="29FEA09B" w14:textId="77777777" w:rsidR="00A3358E" w:rsidRDefault="00A3358E" w:rsidP="00370B8D">
      <w:pPr>
        <w:shd w:val="clear" w:color="auto" w:fill="FFFFFF"/>
        <w:ind w:firstLine="432"/>
        <w:jc w:val="both"/>
        <w:rPr>
          <w:rFonts w:ascii="Cambria" w:hAnsi="Cambria"/>
          <w:color w:val="000000"/>
          <w:sz w:val="22"/>
        </w:rPr>
      </w:pPr>
    </w:p>
    <w:p w14:paraId="34A969DD" w14:textId="77777777" w:rsidR="008314A7" w:rsidRDefault="008314A7" w:rsidP="008314A7">
      <w:pPr>
        <w:pStyle w:val="Heading1"/>
        <w:rPr>
          <w:rFonts w:ascii="Segoe UI" w:hAnsi="Segoe UI" w:cs="Segoe UI"/>
          <w:color w:val="222222"/>
          <w:sz w:val="48"/>
          <w:szCs w:val="48"/>
        </w:rPr>
      </w:pPr>
      <w:r>
        <w:rPr>
          <w:rFonts w:ascii="Segoe UI" w:hAnsi="Segoe UI" w:cs="Segoe UI"/>
          <w:color w:val="222222"/>
        </w:rPr>
        <w:t>Results</w:t>
      </w:r>
    </w:p>
    <w:p w14:paraId="624F1CD3"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The results are organized around recruitment and training, role assignment, and deployment challenges. Across these themes, participants connected domestic personnel practices with deployment opportunities through institutional needs, commanders’ judgments, mission requirements, qualifications, resources, and gender. The findings distinguish participants’ accounts from analytical interpretation: they identify reported practices and organizational reasoning, rather than independently verifying their prevalence or long-term effects on deployment, promotion, and command.</w:t>
      </w:r>
    </w:p>
    <w:p w14:paraId="1011A6D1" w14:textId="77777777" w:rsidR="008314A7" w:rsidRDefault="008314A7" w:rsidP="008314A7">
      <w:pPr>
        <w:pStyle w:val="Heading2"/>
        <w:rPr>
          <w:rFonts w:ascii="Segoe UI" w:hAnsi="Segoe UI" w:cs="Segoe UI"/>
          <w:color w:val="222222"/>
          <w:sz w:val="36"/>
          <w:szCs w:val="36"/>
        </w:rPr>
      </w:pPr>
      <w:r>
        <w:rPr>
          <w:rFonts w:ascii="Segoe UI" w:hAnsi="Segoe UI" w:cs="Segoe UI"/>
          <w:color w:val="222222"/>
        </w:rPr>
        <w:lastRenderedPageBreak/>
        <w:t>Recruitment and training: institutional needs and differentiated preparation</w:t>
      </w:r>
    </w:p>
    <w:p w14:paraId="10396370"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Recruitment was described as a response to staffing needs rather than an allocation process based solely on applicants’ preferences. SeniorOfficer1(male) linked recruitment numbers to vacancies arising from departures, retirement, and organizational expansion, and described identifying the technical capabilities required by particular units:</w:t>
      </w:r>
    </w:p>
    <w:p w14:paraId="04A88C6B"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“how many technicians do you require? How many mechanics require? How many doctors?” (SeniorOfficer1(male))</w:t>
      </w:r>
    </w:p>
    <w:p w14:paraId="511F9859"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This account places organizational capacity at the beginning of the personnel pathway: available posts and required qualifications help shape who enters and the work for which personnel are prepared.</w:t>
      </w:r>
    </w:p>
    <w:p w14:paraId="44246001"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Shared initial training was also central to participants’ descriptions of professional equality. Maj6(female) stated:</w:t>
      </w:r>
    </w:p>
    <w:p w14:paraId="4283DFC1"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“Everyone is trained and ready for combat by the time you leave the training.” (Maj6(female))</w:t>
      </w:r>
    </w:p>
    <w:p w14:paraId="582BBD56"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The same participant distinguished common basic preparation from specialization and career-progression courses. Shared initial training therefore did not mean identical training histories throughout service. Because later qualifications also featured in deployment selection, the analysis distinguishes basic military preparation, occupational specialization, and mission-related training.</w:t>
      </w:r>
    </w:p>
    <w:p w14:paraId="210B7E5C" w14:textId="77777777" w:rsidR="008314A7" w:rsidRDefault="008314A7" w:rsidP="008314A7">
      <w:pPr>
        <w:pStyle w:val="Heading2"/>
        <w:rPr>
          <w:rFonts w:ascii="Segoe UI" w:hAnsi="Segoe UI" w:cs="Segoe UI"/>
          <w:color w:val="222222"/>
          <w:sz w:val="36"/>
          <w:szCs w:val="36"/>
        </w:rPr>
      </w:pPr>
      <w:r>
        <w:rPr>
          <w:rFonts w:ascii="Segoe UI" w:hAnsi="Segoe UI" w:cs="Segoe UI"/>
          <w:color w:val="222222"/>
        </w:rPr>
        <w:t>Role assignment: qualifications, gender, and commanders’ judgments</w:t>
      </w:r>
    </w:p>
    <w:p w14:paraId="50FB5B66"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LtCol3(male) described trade allocation after basic training as involving multiple considerations:</w:t>
      </w:r>
    </w:p>
    <w:p w14:paraId="55EE38F0"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“It is at your service where you're allocated your trade, depending on the aptitude and health you have, your aptitude, sometimes your age, sometimes your gender.” (LtCol3(male))</w:t>
      </w:r>
    </w:p>
    <w:p w14:paraId="2F0B23B5"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Gender appeared here as an explicit consideration alongside aptitude, health, and age. In explaining infantry allocation, the participant invoked both a masculine understanding of fighting and expectations about women’s future family responsibilities:</w:t>
      </w:r>
    </w:p>
    <w:p w14:paraId="5965AC65"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“you don't want a large number of women in an infantry unit.” (LtCol3(male))</w:t>
      </w:r>
    </w:p>
    <w:p w14:paraId="2C939022"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“You have to be practical at one time these ladies will get married and will get children.” (LtCol3(male))</w:t>
      </w:r>
    </w:p>
    <w:p w14:paraId="340D4257"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These statements connect anticipated marriage and motherhood to a judgment about the composition of fighting units. The analytical distinction is between accommodating an individual’s pregnancy or lactation needs and extending expectations about future caregiving to women’s occupational suitability as a category. LtCol3(male)’s explanation illustrates the latter rationale.</w:t>
      </w:r>
    </w:p>
    <w:p w14:paraId="7BB6E336"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lastRenderedPageBreak/>
        <w:t>LtCol2(male) similarly presented common training as evidence that discrimination was absent, while characterizing some restrictions as biological suitability:</w:t>
      </w:r>
    </w:p>
    <w:p w14:paraId="32378621"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“It's only that there are some areas where women cannot fit because of Biological factors, yeah, yeah, and I would not call that discrimination.” (LtCol2(male))</w:t>
      </w:r>
    </w:p>
    <w:p w14:paraId="17216F0A"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The significance of this statement lies in how the participant defined discrimination, not in the validity of the biological generalization. Within this account, equal exposure to initial training could coexist with gender-based differentiation in subsequent work.</w:t>
      </w:r>
    </w:p>
    <w:p w14:paraId="78AD9E4F"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Maj3(female) provided examples of gendered task allocation, recalling women being sought for gender workshops and assigned ushering and clerical duties. The participant summarized one assumption as follows:</w:t>
      </w:r>
    </w:p>
    <w:p w14:paraId="379F2813"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“So they assume that it's the role of women to be ushers.” (Maj3(female))</w:t>
      </w:r>
    </w:p>
    <w:p w14:paraId="6FD11F9D"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The same answer described change over time, including more opportunities for women to undertake operational roles. Gendered task expectations thus appeared alongside accounts of their revision.</w:t>
      </w:r>
    </w:p>
    <w:p w14:paraId="44B6CB83" w14:textId="77777777" w:rsidR="008314A7" w:rsidRDefault="008314A7" w:rsidP="008314A7">
      <w:pPr>
        <w:pStyle w:val="Heading2"/>
        <w:rPr>
          <w:rFonts w:ascii="Segoe UI" w:hAnsi="Segoe UI" w:cs="Segoe UI"/>
          <w:color w:val="222222"/>
          <w:sz w:val="36"/>
          <w:szCs w:val="36"/>
        </w:rPr>
      </w:pPr>
      <w:r>
        <w:rPr>
          <w:rFonts w:ascii="Segoe UI" w:hAnsi="Segoe UI" w:cs="Segoe UI"/>
          <w:color w:val="222222"/>
        </w:rPr>
        <w:t>Deployment selection: mission needs, training histories, and discretion</w:t>
      </w:r>
    </w:p>
    <w:p w14:paraId="33AA35A2"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Participants situated deployment decisions within mission requirements. LtCol4(male) described the mission mandate and the role allocated to the contributing country as starting points for assembling and preparing a team. Selection was thus presented as partly contingent on the capabilities required for a particular contribution.</w:t>
      </w:r>
    </w:p>
    <w:p w14:paraId="23D867E9"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Col1(male) described seniority, availability, previous deployment, and training history as information assembled for selection. In this account, the personnel function prepared information and the commander made a choice. The training component was explicit:</w:t>
      </w:r>
    </w:p>
    <w:p w14:paraId="40172A3D"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“These are the people who have gone for training outside. These are the people who have done certain courses” (Col1(male))</w:t>
      </w:r>
    </w:p>
    <w:p w14:paraId="53BC42C5"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In Col1(male)’s account, earlier training formed part of the personnel information considered at nomination, alongside seniority, availability, and previous deployment.</w:t>
      </w:r>
    </w:p>
    <w:p w14:paraId="785A6CE2"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Maj1(male) made the relevance of course completion more direct:</w:t>
      </w:r>
    </w:p>
    <w:p w14:paraId="40101AD4"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“So if I might be qualified, but I've not done a course that is mandatory to be done. then its only right that I that the one who has done the course is selected” (Maj1(male))</w:t>
      </w:r>
    </w:p>
    <w:p w14:paraId="44E2131A"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Maj4(male) likewise linked military-observer selection to attendance and qualification on the relevant course. Maj1(male), however, distinguished selecting a small group of officers from preparing a battalion or contingent, whose personnel were described as undertaking mandatory training. Across these accounts, training served both as an eligibility consideration and as preparation associated with a selected formation.</w:t>
      </w:r>
    </w:p>
    <w:p w14:paraId="3003AF5A"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lastRenderedPageBreak/>
        <w:t>Selection practices were not described only as restrictive. SeniorOfficer1(male) explained that a seniority-based list could be adjusted to include women:</w:t>
      </w:r>
    </w:p>
    <w:p w14:paraId="186AE08C"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“if you run that seniority and you will find it's only men then you will be forced to skip some to accommodate women” (SeniorOfficer1(male))</w:t>
      </w:r>
    </w:p>
    <w:p w14:paraId="57350DF6"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LtCol3(male) and Maj4(male) also described appointments specified for women. These accounts present gender requirements and discretion as potential sources of opportunity as well as restriction. References to legal or institutional requirements are treated here as participants’ descriptions of selection practice.</w:t>
      </w:r>
    </w:p>
    <w:p w14:paraId="29656B90" w14:textId="77777777" w:rsidR="008314A7" w:rsidRDefault="008314A7" w:rsidP="008314A7">
      <w:pPr>
        <w:pStyle w:val="Heading2"/>
        <w:rPr>
          <w:rFonts w:ascii="Segoe UI" w:hAnsi="Segoe UI" w:cs="Segoe UI"/>
          <w:color w:val="222222"/>
          <w:sz w:val="36"/>
          <w:szCs w:val="36"/>
        </w:rPr>
      </w:pPr>
      <w:r>
        <w:rPr>
          <w:rFonts w:ascii="Segoe UI" w:hAnsi="Segoe UI" w:cs="Segoe UI"/>
          <w:color w:val="222222"/>
        </w:rPr>
        <w:t>Domestic occupations and deployment roles: continuity with alternatives</w:t>
      </w:r>
    </w:p>
    <w:p w14:paraId="32DC3AF2"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Several accounts connected domestic specialization with the work performed on deployment. Col1(male) explained:</w:t>
      </w:r>
    </w:p>
    <w:p w14:paraId="45CE2244"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“you're a logistician, you will be selected to go and do logistics work. If you're a fighter, you're going to do those patrols and all that.” (Col1(male))</w:t>
      </w:r>
    </w:p>
    <w:p w14:paraId="10056811"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LtCol3(male), who had earlier identified gender as relevant to trade allocation, also described a continuity between domestic work and UN assignments:</w:t>
      </w:r>
    </w:p>
    <w:p w14:paraId="3A761417"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“Yes, it is the same as, like I said, the same way you operate here, in you operate in the UN” (LtCol3(male))</w:t>
      </w:r>
    </w:p>
    <w:p w14:paraId="5EED8DDF"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The participant elaborated by associating fighting battalions predominantly with men and several base duties with women. Within LtCol3(male)’s account, gender in initial allocation was thus connected to differentiated deployment roles. This same-participant connection supports interpreting domestic and deployment assignments as related processes. It remains a reported organizational connection, however, rather than a longitudinal demonstration that an earlier assignment caused a particular person’s later exclusion or promotion disadvantage.</w:t>
      </w:r>
    </w:p>
    <w:p w14:paraId="5A6883D8"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Occupational continuity was not absolute. Col2(male) distinguished occupation-matched logistics duties from observer appointments, describing the latter as open across occupational backgrounds. Read alongside Maj4(male)’s account of observer-course requirements, this suggests that appointment categories differ in their dependence on domestic specialization while retaining relevant qualification thresholds.</w:t>
      </w:r>
    </w:p>
    <w:p w14:paraId="7696DB85"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Maj3(female) also reported a personal example of deployment beyond an original specialization after additional training. The participant explained:</w:t>
      </w:r>
    </w:p>
    <w:p w14:paraId="1470664B"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“you can always be deployed in other roles depending on your extra training that you have.” (Maj3(female))</w:t>
      </w:r>
    </w:p>
    <w:p w14:paraId="37111128"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 xml:space="preserve">The surrounding account connects an initial technical specialization, additional subject-specific training, and a specialist advisory deployment. Occupational details are withheld to reduce </w:t>
      </w:r>
      <w:r>
        <w:rPr>
          <w:rFonts w:ascii="Segoe UI" w:hAnsi="Segoe UI" w:cs="Segoe UI"/>
          <w:color w:val="222222"/>
          <w:sz w:val="21"/>
          <w:szCs w:val="21"/>
        </w:rPr>
        <w:lastRenderedPageBreak/>
        <w:t>identification risk. This reported sequence illustrates a route beyond an initial specialization: domestic occupations structured some opportunities without necessarily fixing personnel permanently in one type of role.</w:t>
      </w:r>
    </w:p>
    <w:p w14:paraId="24CBF111" w14:textId="77777777" w:rsidR="008314A7" w:rsidRDefault="008314A7" w:rsidP="008314A7">
      <w:pPr>
        <w:pStyle w:val="Heading2"/>
        <w:rPr>
          <w:rFonts w:ascii="Segoe UI" w:hAnsi="Segoe UI" w:cs="Segoe UI"/>
          <w:color w:val="222222"/>
          <w:sz w:val="36"/>
          <w:szCs w:val="36"/>
        </w:rPr>
      </w:pPr>
      <w:r>
        <w:rPr>
          <w:rFonts w:ascii="Segoe UI" w:hAnsi="Segoe UI" w:cs="Segoe UI"/>
          <w:color w:val="222222"/>
        </w:rPr>
        <w:t>Deployment challenges: risk, resources, and family responsibilities</w:t>
      </w:r>
    </w:p>
    <w:p w14:paraId="3EEBE23B"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Accounts of operational risk included both working conditions and gender-specific restrictions on exposure. Col2(male) recalled an initial restriction on women’s participation in an operation in Somalia:</w:t>
      </w:r>
    </w:p>
    <w:p w14:paraId="7A52CF17"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“No lady went in the initial stages until we were sure of how the environment was, the risks involved, but later, a few them were allowed to be deployed in Somalia.” (Col2(male))</w:t>
      </w:r>
    </w:p>
    <w:p w14:paraId="55DFA781"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Col2(male) described delayed operational access justified through risk assessment. The operation’s date and institutional mandate are unspecified in the passage; it is therefore treated as an operational example, not classified as a UN peacekeeping deployment.</w:t>
      </w:r>
    </w:p>
    <w:p w14:paraId="0029ED56"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Maj2(male) described resource limitations and insecurity affecting transport tasks during operations in Somalia. This account adds material context to the personnel decisions discussed above, rather than identifying a gender-specific allocation pattern.</w:t>
      </w:r>
    </w:p>
    <w:p w14:paraId="6382BE2D"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Family responsibilities emerged differently in Maj4(male)’s account of women declining deployment opportunities. This report concerns perceived individual decisions, rather than explicit exclusion by a commander. Without the affected women’s own explanations, the relationship between preferences, household responsibilities, and institutional conditions remains unresolved.</w:t>
      </w:r>
    </w:p>
    <w:p w14:paraId="29C6BE8F"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Maj3(female) also described female peacekeepers facilitating communication with local women and girls in a culturally reserved setting. Read alongside the task-allocation examples, this account distinguishes the value of context-specific experience from assumptions that women are naturally suited to a narrow range of functions.</w:t>
      </w:r>
    </w:p>
    <w:p w14:paraId="48893FA0"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Taken together, the findings identify reported connections among recruitment needs, occupational allocation, qualifications, and deployment decisions. They also identify alternative pathways and inclusion-oriented practices, suggesting that these connections can be reproduced or modified at successive decision points.</w:t>
      </w:r>
    </w:p>
    <w:p w14:paraId="545AC87F" w14:textId="77777777" w:rsidR="008314A7" w:rsidRDefault="008314A7" w:rsidP="008314A7">
      <w:pPr>
        <w:pStyle w:val="Heading1"/>
        <w:rPr>
          <w:rFonts w:ascii="Segoe UI" w:hAnsi="Segoe UI" w:cs="Segoe UI"/>
          <w:color w:val="222222"/>
          <w:sz w:val="48"/>
          <w:szCs w:val="48"/>
        </w:rPr>
      </w:pPr>
      <w:r>
        <w:rPr>
          <w:rFonts w:ascii="Segoe UI" w:hAnsi="Segoe UI" w:cs="Segoe UI"/>
          <w:color w:val="222222"/>
        </w:rPr>
        <w:t>Discussion</w:t>
      </w:r>
    </w:p>
    <w:p w14:paraId="39CA9524" w14:textId="77777777" w:rsidR="008314A7" w:rsidRDefault="008314A7" w:rsidP="008314A7">
      <w:pPr>
        <w:pStyle w:val="Heading2"/>
        <w:rPr>
          <w:rFonts w:ascii="Segoe UI" w:hAnsi="Segoe UI" w:cs="Segoe UI"/>
          <w:color w:val="222222"/>
        </w:rPr>
      </w:pPr>
      <w:r>
        <w:rPr>
          <w:rFonts w:ascii="Segoe UI" w:hAnsi="Segoe UI" w:cs="Segoe UI"/>
          <w:color w:val="222222"/>
        </w:rPr>
        <w:t>From a single selection decision to connected personnel processes</w:t>
      </w:r>
    </w:p>
    <w:p w14:paraId="2BC85A39"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The principal contribution is to situate deployment selection within connected domestic personnel processes. Existing scholarship shows that numerical inclusion can coexist with occupational segregation and restricted participation (</w:t>
      </w:r>
      <w:proofErr w:type="spellStart"/>
      <w:r>
        <w:rPr>
          <w:rFonts w:ascii="Segoe UI" w:hAnsi="Segoe UI" w:cs="Segoe UI"/>
          <w:color w:val="222222"/>
          <w:sz w:val="21"/>
          <w:szCs w:val="21"/>
        </w:rPr>
        <w:t>Carreiras</w:t>
      </w:r>
      <w:proofErr w:type="spellEnd"/>
      <w:r>
        <w:rPr>
          <w:rFonts w:ascii="Segoe UI" w:hAnsi="Segoe UI" w:cs="Segoe UI"/>
          <w:color w:val="222222"/>
          <w:sz w:val="21"/>
          <w:szCs w:val="21"/>
        </w:rPr>
        <w:t>, 2006; Karim &amp; Beardsley, 2017; Newby &amp; Sebag, 2021). The contribution here is not simply to identify barriers before deployment, but to explain how officers describe links between trade allocation, subsequent qualifications, and the roles for which personnel are considered.</w:t>
      </w:r>
    </w:p>
    <w:p w14:paraId="403A15DF"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lastRenderedPageBreak/>
        <w:t>Two connections are especially salient. LtCol3(male) identified gender as a consideration in trade allocation and later described UN duties as reflecting domestic role patterns. Col1(male), Maj1(male), and Maj4(male) connected training histories or relevant courses with deployment consideration. Together, these accounts support examining selection as part of a personnel pathway rather than as an isolated decision at the point of nomination.</w:t>
      </w:r>
    </w:p>
    <w:p w14:paraId="0F65EBB3"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Institutional gatekeeping provides a framework for analyzing these connected decision points, not a synonym for exclusion. A vacancy, a course requirement, a nomination, and a commander’s judgment can each affect access. Their interaction may reinforce earlier occupational patterns or create routes beyond them. Cumulative gatekeeping is therefore proposed as a mechanism through which decisions at successive stages can shape later opportunities.</w:t>
      </w:r>
    </w:p>
    <w:p w14:paraId="540FE3C7" w14:textId="77777777" w:rsidR="008314A7" w:rsidRDefault="008314A7" w:rsidP="008314A7">
      <w:pPr>
        <w:pStyle w:val="Heading2"/>
        <w:rPr>
          <w:rFonts w:ascii="Segoe UI" w:hAnsi="Segoe UI" w:cs="Segoe UI"/>
          <w:color w:val="222222"/>
          <w:sz w:val="36"/>
          <w:szCs w:val="36"/>
        </w:rPr>
      </w:pPr>
      <w:r>
        <w:rPr>
          <w:rFonts w:ascii="Segoe UI" w:hAnsi="Segoe UI" w:cs="Segoe UI"/>
          <w:color w:val="222222"/>
        </w:rPr>
        <w:t>Formal equality and gendered judgments of suitability</w:t>
      </w:r>
    </w:p>
    <w:p w14:paraId="00A23A84"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The coexistence of common training and differentiated role judgments is consistent with the gendered-organizations perspective (Acker, 1990). LtCol2(male) defined equality partly through shared preparation while interpreting some gender restrictions as biological suitability. LtCol3(male) connected anticipated motherhood with the preferred composition of infantry units. These accounts suggest that organizational differentiation can be justified through apparently practical assessments without being understood by the decision-maker as discrimination.</w:t>
      </w:r>
    </w:p>
    <w:p w14:paraId="6AAB78AC"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This interpretation takes operational requirements seriously. Military roles can have genuine demands, and individuals can require accommodations. The critical distinction is between evaluating a person against a role-specific requirement and inferring suitability from a generalized expectation about women. Anticipated marriage or motherhood differs from an identified accommodation need; common basic training likewise differs from access to subsequent courses, experience, and nominations.</w:t>
      </w:r>
    </w:p>
    <w:p w14:paraId="4F414A75"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Protective reasoning is relevant to the concept of benevolent sexism when concern for women supports restrictions on their opportunities (Glick &amp; Fiske, 1996). Col2(male)’s recollection of delayed deployment and Maj3(female)’s description of safeguarding women make this a useful interpretation of some accounts. Its application depends on distinguishing role-specific risk assessment from categorical assumptions about women, with attention to the criteria and alternatives available to decision-makers.</w:t>
      </w:r>
    </w:p>
    <w:p w14:paraId="16D245FF" w14:textId="77777777" w:rsidR="008314A7" w:rsidRDefault="008314A7" w:rsidP="008314A7">
      <w:pPr>
        <w:pStyle w:val="Heading2"/>
        <w:rPr>
          <w:rFonts w:ascii="Segoe UI" w:hAnsi="Segoe UI" w:cs="Segoe UI"/>
          <w:color w:val="222222"/>
          <w:sz w:val="36"/>
          <w:szCs w:val="36"/>
        </w:rPr>
      </w:pPr>
      <w:r>
        <w:rPr>
          <w:rFonts w:ascii="Segoe UI" w:hAnsi="Segoe UI" w:cs="Segoe UI"/>
          <w:color w:val="222222"/>
        </w:rPr>
        <w:t>Occupational continuity is conditional, not permanent confinement</w:t>
      </w:r>
    </w:p>
    <w:p w14:paraId="1BD3F2CC"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 xml:space="preserve">The findings resonate with </w:t>
      </w:r>
      <w:proofErr w:type="spellStart"/>
      <w:r>
        <w:rPr>
          <w:rFonts w:ascii="Segoe UI" w:hAnsi="Segoe UI" w:cs="Segoe UI"/>
          <w:color w:val="222222"/>
          <w:sz w:val="21"/>
          <w:szCs w:val="21"/>
        </w:rPr>
        <w:t>sidestreaming</w:t>
      </w:r>
      <w:proofErr w:type="spellEnd"/>
      <w:r>
        <w:rPr>
          <w:rFonts w:ascii="Segoe UI" w:hAnsi="Segoe UI" w:cs="Segoe UI"/>
          <w:color w:val="222222"/>
          <w:sz w:val="21"/>
          <w:szCs w:val="21"/>
        </w:rPr>
        <w:t xml:space="preserve"> scholarship by directing attention from women’s presence to the functions they perform (Newby &amp; Sebag, 2021). Occupational continuity, however, should not be equated with marginalization. Logistics, communications, medical, and advisory work provide mission responsibilities and routes to deployment. Evaluating their career implications requires attention to authority, progression, and access to subsequent opportunities, rather than assuming that every support assignment is limiting.</w:t>
      </w:r>
    </w:p>
    <w:p w14:paraId="2D164790"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lastRenderedPageBreak/>
        <w:t>Maj3(female)’s reported movement into a different specialist role through additional training illustrates an alternative pathway. A prior specialization need not determine all subsequent opportunities. Differences between contingent duties and individual appointments further indicate that deployment follows more than one route. The analytical question is which transitions are possible, what preparation they require, and who can access that preparation—not simply whether a woman occupies a combat or support role.</w:t>
      </w:r>
    </w:p>
    <w:p w14:paraId="4AC435C8"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This also changes how training should be understood. Training can serve as a threshold for consideration, preparation after a team is constituted, or a route into a different appointment. Treating all three as one stage would obscure the mechanisms through which qualifications matter. Future research should distinguish access to a course, successful completion, eligibility for nomination, and actual deployment, rather than assuming that one necessarily leads to the next.</w:t>
      </w:r>
    </w:p>
    <w:p w14:paraId="645004A8" w14:textId="77777777" w:rsidR="008314A7" w:rsidRDefault="008314A7" w:rsidP="008314A7">
      <w:pPr>
        <w:pStyle w:val="Heading2"/>
        <w:rPr>
          <w:rFonts w:ascii="Segoe UI" w:hAnsi="Segoe UI" w:cs="Segoe UI"/>
          <w:color w:val="222222"/>
          <w:sz w:val="36"/>
          <w:szCs w:val="36"/>
        </w:rPr>
      </w:pPr>
      <w:r>
        <w:rPr>
          <w:rFonts w:ascii="Segoe UI" w:hAnsi="Segoe UI" w:cs="Segoe UI"/>
          <w:color w:val="222222"/>
        </w:rPr>
        <w:t>Discretion, mandates, and the possibility of inclusion</w:t>
      </w:r>
    </w:p>
    <w:p w14:paraId="6CCF9A6A"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Commander discretion appears in the interviews alongside organizational needs and mission-specific requirements. Col1(male) described commanders choosing from personnel information, while SeniorOfficer1(male) described departing from seniority ordering to ensure women’s inclusion. These accounts caution against treating formal rules as necessarily fair and discretion as necessarily exclusionary. Either can have different effects depending on the candidate pool, the criteria used, and the purpose of an adjustment.</w:t>
      </w:r>
    </w:p>
    <w:p w14:paraId="7363B83C"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Mission requests also connect international participation objectives with domestic selection. Participants’ descriptions of women-specific appointments suggest one way mission requirements can create openings. Whether such openings encompass varied operational and leadership responsibilities is central to meaningful participation, which concerns the substance of deployment as well as the numbers deployed (Karim &amp; Beardsley, 2017).</w:t>
      </w:r>
    </w:p>
    <w:p w14:paraId="539FCD02"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Recognizing women’s contribution to community engagement should not make participation conditional on a distinctively female added value. Maj3(female)’s account concerns trust in a particular social setting. Taking that experience seriously is compatible with recognizing differences among women’s capabilities and preferences. The organizational question is whether personnel can develop varied expertise without gender becoming a default assignment rule.</w:t>
      </w:r>
    </w:p>
    <w:p w14:paraId="34889F44" w14:textId="77777777" w:rsidR="008314A7" w:rsidRDefault="008314A7" w:rsidP="008314A7">
      <w:pPr>
        <w:pStyle w:val="Heading2"/>
        <w:rPr>
          <w:rFonts w:ascii="Segoe UI" w:hAnsi="Segoe UI" w:cs="Segoe UI"/>
          <w:color w:val="222222"/>
          <w:sz w:val="36"/>
          <w:szCs w:val="36"/>
        </w:rPr>
      </w:pPr>
      <w:r>
        <w:rPr>
          <w:rFonts w:ascii="Segoe UI" w:hAnsi="Segoe UI" w:cs="Segoe UI"/>
          <w:color w:val="222222"/>
        </w:rPr>
        <w:t>Implications and evidentiary boundaries</w:t>
      </w:r>
    </w:p>
    <w:p w14:paraId="7852CFDD"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The findings identify areas for institutional review. Selection records could distinguish role requirements, qualifying courses, nomination criteria, and reasons for non-selection. Linking training records to applications and nominations would permit examination of gender differences in access and progression. Reviews could also distinguish occupation-specific requirements from those that additional training can satisfy. These measures would make the reported connections assessable rather than assuming their effects.</w:t>
      </w:r>
    </w:p>
    <w:p w14:paraId="1BFD3B29"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 xml:space="preserve">Risk and family-related decisions warrant similarly careful differentiation. Institutions could examine whether an individual declined an opportunity, requested an accommodation, was assessed against a </w:t>
      </w:r>
      <w:r>
        <w:rPr>
          <w:rFonts w:ascii="Segoe UI" w:hAnsi="Segoe UI" w:cs="Segoe UI"/>
          <w:color w:val="222222"/>
          <w:sz w:val="21"/>
          <w:szCs w:val="21"/>
        </w:rPr>
        <w:lastRenderedPageBreak/>
        <w:t>documented requirement, or was ruled out on the basis of an anticipated gender role. These are different decisions with different implications. Transparent criteria and individual consultation would address that distinction without presuming that all personnel want identical careers or accept identical deployment conditions.</w:t>
      </w:r>
    </w:p>
    <w:p w14:paraId="5CD360B2" w14:textId="77777777" w:rsidR="008314A7" w:rsidRDefault="008314A7" w:rsidP="008314A7">
      <w:pPr>
        <w:pStyle w:val="NormalWeb"/>
        <w:rPr>
          <w:rFonts w:ascii="Segoe UI" w:hAnsi="Segoe UI" w:cs="Segoe UI"/>
          <w:color w:val="222222"/>
          <w:sz w:val="21"/>
          <w:szCs w:val="21"/>
        </w:rPr>
      </w:pPr>
      <w:r>
        <w:rPr>
          <w:rFonts w:ascii="Segoe UI" w:hAnsi="Segoe UI" w:cs="Segoe UI"/>
          <w:color w:val="222222"/>
          <w:sz w:val="21"/>
          <w:szCs w:val="21"/>
        </w:rPr>
        <w:t>These implications must be read within the study’s evidentiary boundaries. Interviews illuminate officers’ reasoning and recollections, but cannot independently establish the prevalence of practices or substitute for accounts from personnel affected by decisions. UN appointments and other operational experiences are not institutionally interchangeable. The evidence does not establish systematic gender inequality in course access, comparative selection rates, promotion returns to different occupations, or a complete longitudinal sequence from initial allocation to later disadvantage. Such claims require linked career, training, and selection records alongside accounts from selected and non-selected personnel.</w:t>
      </w:r>
    </w:p>
    <w:p w14:paraId="524DA956" w14:textId="14426D4A" w:rsidR="00A3358E" w:rsidRDefault="008314A7" w:rsidP="008314A7">
      <w:pPr>
        <w:pStyle w:val="NormalWeb"/>
        <w:rPr>
          <w:rFonts w:ascii="Segoe UI" w:hAnsi="Segoe UI" w:cs="Segoe UI"/>
          <w:color w:val="222222"/>
          <w:sz w:val="21"/>
          <w:szCs w:val="21"/>
        </w:rPr>
      </w:pPr>
      <w:r>
        <w:rPr>
          <w:rFonts w:ascii="Segoe UI" w:hAnsi="Segoe UI" w:cs="Segoe UI"/>
          <w:color w:val="222222"/>
          <w:sz w:val="21"/>
          <w:szCs w:val="21"/>
        </w:rPr>
        <w:t>Officers’ accounts indicate that gendered judgments at domestic career stages may shape the pathways through which personnel approach peacekeeping deployment. Qualifications, appointment categories, and inclusion-oriented practices can also modify those pathways. The study therefore proposes, rather than conclusively demonstrates, the cumulative effects of connected personnel decisions on deployment, promotion, and command. Its contribution is to identify reported connections through which those effects may arise and the conditions under which pathways can change.</w:t>
      </w:r>
    </w:p>
    <w:p w14:paraId="3F6EE014" w14:textId="77777777" w:rsidR="005920B7" w:rsidRDefault="005920B7" w:rsidP="005920B7">
      <w:pPr>
        <w:pStyle w:val="Heading1"/>
        <w:rPr>
          <w:rFonts w:ascii="Segoe UI" w:hAnsi="Segoe UI" w:cs="Segoe UI"/>
          <w:color w:val="222222"/>
          <w:sz w:val="48"/>
          <w:szCs w:val="48"/>
        </w:rPr>
      </w:pPr>
      <w:r>
        <w:rPr>
          <w:rFonts w:ascii="Segoe UI" w:hAnsi="Segoe UI" w:cs="Segoe UI"/>
          <w:color w:val="222222"/>
        </w:rPr>
        <w:t>Conclusion</w:t>
      </w:r>
    </w:p>
    <w:p w14:paraId="1B972EFE" w14:textId="77777777" w:rsidR="005920B7" w:rsidRDefault="005920B7" w:rsidP="005920B7">
      <w:pPr>
        <w:pStyle w:val="NormalWeb"/>
        <w:rPr>
          <w:rFonts w:ascii="Segoe UI" w:hAnsi="Segoe UI" w:cs="Segoe UI"/>
          <w:color w:val="222222"/>
          <w:sz w:val="21"/>
          <w:szCs w:val="21"/>
        </w:rPr>
      </w:pPr>
      <w:r>
        <w:rPr>
          <w:rFonts w:ascii="Segoe UI" w:hAnsi="Segoe UI" w:cs="Segoe UI"/>
          <w:color w:val="222222"/>
          <w:sz w:val="21"/>
          <w:szCs w:val="21"/>
        </w:rPr>
        <w:t>Officers’ accounts indicate that gendered judgments at earlier military career stages may shape the pathways through which personnel approach United Nations peacekeeping deployment. Participants described connections among recruitment, training, occupational allocation, operational exposure, and deployment consideration. These accounts suggest that peacekeeping participation should be examined within military career pathways, rather than solely at the point of mission selection.</w:t>
      </w:r>
    </w:p>
    <w:p w14:paraId="11F283F1" w14:textId="77777777" w:rsidR="005920B7" w:rsidRDefault="005920B7" w:rsidP="005920B7">
      <w:pPr>
        <w:pStyle w:val="NormalWeb"/>
        <w:rPr>
          <w:rFonts w:ascii="Segoe UI" w:hAnsi="Segoe UI" w:cs="Segoe UI"/>
          <w:color w:val="222222"/>
          <w:sz w:val="21"/>
          <w:szCs w:val="21"/>
        </w:rPr>
      </w:pPr>
      <w:r>
        <w:rPr>
          <w:rFonts w:ascii="Segoe UI" w:hAnsi="Segoe UI" w:cs="Segoe UI"/>
          <w:color w:val="222222"/>
          <w:sz w:val="21"/>
          <w:szCs w:val="21"/>
        </w:rPr>
        <w:t>Drawing on Acker’s (1990) theory of gendered organizations, the study locates gatekeeping in routine judgments about suitability, readiness, availability, and risk. Its contribution lies in examining reported connections between career stages: gender figured in accounts of initial military trade allocation, existing specializations informed some deployment roles, and relevant training featured in selection considerations. However, these pathways were not described as fixed. Additional training could enable movement beyond an initial specialization, while inclusion-oriented practices could widen participation. Institutional gatekeeping therefore offers a way to examine both constraints and opportunities without assuming that every decision reproduces disadvantage.</w:t>
      </w:r>
    </w:p>
    <w:p w14:paraId="1FBC7AD6" w14:textId="77777777" w:rsidR="005920B7" w:rsidRDefault="005920B7" w:rsidP="005920B7">
      <w:pPr>
        <w:pStyle w:val="NormalWeb"/>
        <w:rPr>
          <w:rFonts w:ascii="Segoe UI" w:hAnsi="Segoe UI" w:cs="Segoe UI"/>
          <w:color w:val="222222"/>
          <w:sz w:val="21"/>
          <w:szCs w:val="21"/>
        </w:rPr>
      </w:pPr>
      <w:r>
        <w:rPr>
          <w:rFonts w:ascii="Segoe UI" w:hAnsi="Segoe UI" w:cs="Segoe UI"/>
          <w:color w:val="222222"/>
          <w:sz w:val="21"/>
          <w:szCs w:val="21"/>
        </w:rPr>
        <w:t xml:space="preserve">The findings do not portray the Kenya </w:t>
      </w:r>
      <w:proofErr w:type="spellStart"/>
      <w:r>
        <w:rPr>
          <w:rFonts w:ascii="Segoe UI" w:hAnsi="Segoe UI" w:cs="Segoe UI"/>
          <w:color w:val="222222"/>
          <w:sz w:val="21"/>
          <w:szCs w:val="21"/>
        </w:rPr>
        <w:t>Defence</w:t>
      </w:r>
      <w:proofErr w:type="spellEnd"/>
      <w:r>
        <w:rPr>
          <w:rFonts w:ascii="Segoe UI" w:hAnsi="Segoe UI" w:cs="Segoe UI"/>
          <w:color w:val="222222"/>
          <w:sz w:val="21"/>
          <w:szCs w:val="21"/>
        </w:rPr>
        <w:t xml:space="preserve"> Forces as uniformly resistant to women’s participation. Participants recognized women’s professional capabilities and emphasized operational readiness, personnel welfare, family circumstances, and individual preferences. The analytical issue is how these considerations are applied. Assessing a person’s actual circumstances differs from anticipating limitations on the basis of gender. Equally, participation in support or community-facing roles is not inherently evidence of exclusion: such roles are essential and may reflect professional choice. The concern is whether qualified and willing personnel can pursue different pathways without </w:t>
      </w:r>
      <w:r>
        <w:rPr>
          <w:rFonts w:ascii="Segoe UI" w:hAnsi="Segoe UI" w:cs="Segoe UI"/>
          <w:color w:val="222222"/>
          <w:sz w:val="21"/>
          <w:szCs w:val="21"/>
        </w:rPr>
        <w:lastRenderedPageBreak/>
        <w:t>generalized assumptions about vulnerability, caregiving, or occupational fit narrowing their opportunities.</w:t>
      </w:r>
    </w:p>
    <w:p w14:paraId="1CC125C2" w14:textId="77777777" w:rsidR="005920B7" w:rsidRDefault="005920B7" w:rsidP="005920B7">
      <w:pPr>
        <w:pStyle w:val="NormalWeb"/>
        <w:rPr>
          <w:rFonts w:ascii="Segoe UI" w:hAnsi="Segoe UI" w:cs="Segoe UI"/>
          <w:color w:val="222222"/>
          <w:sz w:val="21"/>
          <w:szCs w:val="21"/>
        </w:rPr>
      </w:pPr>
      <w:r>
        <w:rPr>
          <w:rFonts w:ascii="Segoe UI" w:hAnsi="Segoe UI" w:cs="Segoe UI"/>
          <w:color w:val="222222"/>
          <w:sz w:val="21"/>
          <w:szCs w:val="21"/>
        </w:rPr>
        <w:t xml:space="preserve">This distinction also separates numerical representation from substantive integration. Consistent with research on </w:t>
      </w:r>
      <w:proofErr w:type="spellStart"/>
      <w:r>
        <w:rPr>
          <w:rFonts w:ascii="Segoe UI" w:hAnsi="Segoe UI" w:cs="Segoe UI"/>
          <w:color w:val="222222"/>
          <w:sz w:val="21"/>
          <w:szCs w:val="21"/>
        </w:rPr>
        <w:t>sidestreaming</w:t>
      </w:r>
      <w:proofErr w:type="spellEnd"/>
      <w:r>
        <w:rPr>
          <w:rFonts w:ascii="Segoe UI" w:hAnsi="Segoe UI" w:cs="Segoe UI"/>
          <w:color w:val="222222"/>
          <w:sz w:val="21"/>
          <w:szCs w:val="21"/>
        </w:rPr>
        <w:t xml:space="preserve"> (Newby &amp; Sebag, 2021), women’s presence in peacekeeping does not by itself establish access to varied responsibilities, career-building experience, or leadership. Recognizing women’s contributions should not make community engagement, care, or gender representation their presumed professional domain. The relevant question is not simply how many women deploy, but what opportunities they can access before deployment and what responsibilities they exercise during missions.</w:t>
      </w:r>
    </w:p>
    <w:p w14:paraId="38D237ED" w14:textId="77777777" w:rsidR="005920B7" w:rsidRDefault="005920B7" w:rsidP="005920B7">
      <w:pPr>
        <w:pStyle w:val="NormalWeb"/>
        <w:rPr>
          <w:rFonts w:ascii="Segoe UI" w:hAnsi="Segoe UI" w:cs="Segoe UI"/>
          <w:color w:val="222222"/>
          <w:sz w:val="21"/>
          <w:szCs w:val="21"/>
        </w:rPr>
      </w:pPr>
      <w:r>
        <w:rPr>
          <w:rFonts w:ascii="Segoe UI" w:hAnsi="Segoe UI" w:cs="Segoe UI"/>
          <w:color w:val="222222"/>
          <w:sz w:val="21"/>
          <w:szCs w:val="21"/>
        </w:rPr>
        <w:t>For policy and practice, these findings support complementing representation targets with attention to specialized training, operational assignments, deployment responsibilities, and progression. Transparent, task-specific criteria and recorded career preferences could help distinguish demonstrated readiness and willingness from assumptions about suitability. Confidential review of selection patterns could identify potential disparities without displacing legitimate command discretion. Welfare and caregiving considerations should remain part of personnel management, but should be assessed individually and consistently for women and men. The objective is meaningful access to different career pathways, not identical preferences or outcomes across roles.</w:t>
      </w:r>
    </w:p>
    <w:p w14:paraId="73B85EA1" w14:textId="001C2574" w:rsidR="005920B7" w:rsidRPr="005920B7" w:rsidRDefault="005920B7" w:rsidP="005920B7">
      <w:pPr>
        <w:pStyle w:val="pdq2pgselectionanchorcontainer"/>
      </w:pPr>
      <w:r>
        <w:t>The interviews illuminate organizational reasoning and reported experiences but cannot establish how widely particular practices occur or trace their effects across complete careers</w:t>
      </w:r>
      <w:r>
        <w:rPr>
          <w:rFonts w:ascii="Segoe UI" w:hAnsi="Segoe UI" w:cs="Segoe UI"/>
          <w:color w:val="222222"/>
          <w:sz w:val="21"/>
          <w:szCs w:val="21"/>
        </w:rPr>
        <w:t>. The sample does not represent every service, rank, or occupational branch, and accounts were not verified through direct observation of personnel decisions. Future research should combine more varied interview samples, including more women, with authorized personnel records to distinguish institutional constraints from preference, eligibility, and operational necessity.</w:t>
      </w:r>
    </w:p>
    <w:p w14:paraId="03133709" w14:textId="77777777" w:rsidR="005920B7" w:rsidRDefault="005920B7" w:rsidP="005920B7">
      <w:pPr>
        <w:pStyle w:val="NormalWeb"/>
        <w:rPr>
          <w:rFonts w:ascii="Segoe UI" w:hAnsi="Segoe UI" w:cs="Segoe UI"/>
          <w:color w:val="222222"/>
          <w:sz w:val="21"/>
          <w:szCs w:val="21"/>
        </w:rPr>
      </w:pPr>
      <w:r>
        <w:rPr>
          <w:rFonts w:ascii="Segoe UI" w:hAnsi="Segoe UI" w:cs="Segoe UI"/>
          <w:color w:val="222222"/>
          <w:sz w:val="21"/>
          <w:szCs w:val="21"/>
        </w:rPr>
        <w:t>The study shifts attention from women’s deployment numbers to the institutional pathways through which peacekeeping opportunities become available. Its central contribution is a grounded proposition: gendered judgments may connect decisions across military careers even where formal inclusion and recognition of women’s professional capabilities coexist. Whether these reported connections produce cumulative effects on deployment, promotion, or command remains an important question for future longitudinal research.</w:t>
      </w:r>
    </w:p>
    <w:p w14:paraId="1C0EE47E" w14:textId="77777777" w:rsidR="005920B7" w:rsidRPr="008314A7" w:rsidRDefault="005920B7" w:rsidP="008314A7">
      <w:pPr>
        <w:pStyle w:val="NormalWeb"/>
        <w:rPr>
          <w:rFonts w:ascii="Segoe UI" w:hAnsi="Segoe UI" w:cs="Segoe UI"/>
          <w:color w:val="222222"/>
          <w:sz w:val="21"/>
          <w:szCs w:val="21"/>
        </w:rPr>
      </w:pPr>
    </w:p>
    <w:p w14:paraId="42301A35" w14:textId="288DED55" w:rsidR="005E4D46" w:rsidRDefault="005E4D46" w:rsidP="008644D6">
      <w:pPr>
        <w:pStyle w:val="artifact-docx-previewtitle"/>
        <w:shd w:val="clear" w:color="auto" w:fill="FFFFFF"/>
        <w:spacing w:before="0" w:beforeAutospacing="0" w:after="0" w:afterAutospacing="0"/>
        <w:ind w:firstLine="720"/>
        <w:jc w:val="center"/>
      </w:pPr>
    </w:p>
    <w:sectPr w:rsidR="005E4D46" w:rsidSect="0003461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7E1CD1" w14:textId="77777777" w:rsidR="005D6827" w:rsidRDefault="005D6827">
      <w:r>
        <w:separator/>
      </w:r>
    </w:p>
  </w:endnote>
  <w:endnote w:type="continuationSeparator" w:id="0">
    <w:p w14:paraId="2B8A96F1" w14:textId="77777777" w:rsidR="005D6827" w:rsidRDefault="005D68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4C6965" w14:textId="77777777" w:rsidR="005E4D46" w:rsidRDefault="00000000">
    <w:pPr>
      <w:pStyle w:val="Footer"/>
      <w:jc w:val="center"/>
    </w:pPr>
    <w:r>
      <w:fldChar w:fldCharType="begin"/>
    </w:r>
    <w:r>
      <w:instrText>PAGE</w:instrText>
    </w:r>
    <w:r>
      <w:fldChar w:fldCharType="separate"/>
    </w:r>
    <w:r w:rsidR="00BB05B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46FC45" w14:textId="77777777" w:rsidR="005D6827" w:rsidRDefault="005D6827">
      <w:r>
        <w:separator/>
      </w:r>
    </w:p>
  </w:footnote>
  <w:footnote w:type="continuationSeparator" w:id="0">
    <w:p w14:paraId="3018D8B3" w14:textId="77777777" w:rsidR="005D6827" w:rsidRDefault="005D68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13555193">
    <w:abstractNumId w:val="8"/>
  </w:num>
  <w:num w:numId="2" w16cid:durableId="845829039">
    <w:abstractNumId w:val="6"/>
  </w:num>
  <w:num w:numId="3" w16cid:durableId="1432160638">
    <w:abstractNumId w:val="5"/>
  </w:num>
  <w:num w:numId="4" w16cid:durableId="149253994">
    <w:abstractNumId w:val="4"/>
  </w:num>
  <w:num w:numId="5" w16cid:durableId="212470137">
    <w:abstractNumId w:val="7"/>
  </w:num>
  <w:num w:numId="6" w16cid:durableId="1502159571">
    <w:abstractNumId w:val="3"/>
  </w:num>
  <w:num w:numId="7" w16cid:durableId="213348748">
    <w:abstractNumId w:val="2"/>
  </w:num>
  <w:num w:numId="8" w16cid:durableId="1781685578">
    <w:abstractNumId w:val="1"/>
  </w:num>
  <w:num w:numId="9" w16cid:durableId="38595596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63494"/>
    <w:rsid w:val="00263DC6"/>
    <w:rsid w:val="0029639D"/>
    <w:rsid w:val="00326F90"/>
    <w:rsid w:val="00370B8D"/>
    <w:rsid w:val="00506F7C"/>
    <w:rsid w:val="00547820"/>
    <w:rsid w:val="005920B7"/>
    <w:rsid w:val="005D6827"/>
    <w:rsid w:val="005E4D46"/>
    <w:rsid w:val="006838A3"/>
    <w:rsid w:val="008314A7"/>
    <w:rsid w:val="008644D6"/>
    <w:rsid w:val="00910B65"/>
    <w:rsid w:val="00A3358E"/>
    <w:rsid w:val="00AA1D8D"/>
    <w:rsid w:val="00B47730"/>
    <w:rsid w:val="00BB05B7"/>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BB65B8"/>
  <w14:defaultImageDpi w14:val="300"/>
  <w15:docId w15:val="{BCDFB08B-3443-144C-A71A-2B47E7267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58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C693F"/>
    <w:pPr>
      <w:keepNext/>
      <w:keepLines/>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contextualSpacing/>
    </w:pPr>
    <w:rPr>
      <w:rFonts w:asciiTheme="majorHAnsi" w:eastAsiaTheme="majorEastAsia" w:hAnsiTheme="majorHAnsi" w:cstheme="majorBidi"/>
      <w:b/>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fact-docx-previewtitle">
    <w:name w:val="artifact-docx-preview_title"/>
    <w:basedOn w:val="Normal"/>
    <w:rsid w:val="00BB05B7"/>
    <w:pPr>
      <w:spacing w:before="100" w:beforeAutospacing="1" w:after="100" w:afterAutospacing="1"/>
    </w:pPr>
  </w:style>
  <w:style w:type="paragraph" w:customStyle="1" w:styleId="artifact-docx-previewheading1">
    <w:name w:val="artifact-docx-preview_heading1"/>
    <w:basedOn w:val="Normal"/>
    <w:rsid w:val="00BB05B7"/>
    <w:pPr>
      <w:spacing w:before="100" w:beforeAutospacing="1" w:after="100" w:afterAutospacing="1"/>
    </w:pPr>
  </w:style>
  <w:style w:type="paragraph" w:styleId="NormalWeb">
    <w:name w:val="Normal (Web)"/>
    <w:basedOn w:val="Normal"/>
    <w:uiPriority w:val="99"/>
    <w:unhideWhenUsed/>
    <w:rsid w:val="00BB05B7"/>
    <w:pPr>
      <w:spacing w:before="100" w:beforeAutospacing="1" w:after="100" w:afterAutospacing="1"/>
    </w:pPr>
  </w:style>
  <w:style w:type="paragraph" w:customStyle="1" w:styleId="artifact-docx-previewheading2">
    <w:name w:val="artifact-docx-preview_heading2"/>
    <w:basedOn w:val="Normal"/>
    <w:rsid w:val="00BB05B7"/>
    <w:pPr>
      <w:spacing w:before="100" w:beforeAutospacing="1" w:after="100" w:afterAutospacing="1"/>
    </w:pPr>
  </w:style>
  <w:style w:type="paragraph" w:customStyle="1" w:styleId="artifact-docx-previewsubtitle">
    <w:name w:val="artifact-docx-preview_subtitle"/>
    <w:basedOn w:val="Normal"/>
    <w:rsid w:val="00A3358E"/>
    <w:pPr>
      <w:spacing w:before="100" w:beforeAutospacing="1" w:after="100" w:afterAutospacing="1"/>
    </w:pPr>
  </w:style>
  <w:style w:type="paragraph" w:customStyle="1" w:styleId="artifact-docx-previewparticipantquotation">
    <w:name w:val="artifact-docx-preview_participantquotation"/>
    <w:basedOn w:val="Normal"/>
    <w:rsid w:val="00A3358E"/>
    <w:pPr>
      <w:spacing w:before="100" w:beforeAutospacing="1" w:after="100" w:afterAutospacing="1"/>
    </w:pPr>
  </w:style>
  <w:style w:type="paragraph" w:customStyle="1" w:styleId="pdq2pgselectionanchorcontainer">
    <w:name w:val="pdq2pg_selectionanchorcontainer"/>
    <w:basedOn w:val="Normal"/>
    <w:rsid w:val="005920B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24</Pages>
  <Words>9733</Words>
  <Characters>62590</Characters>
  <Application>Microsoft Office Word</Application>
  <DocSecurity>0</DocSecurity>
  <Lines>881</Lines>
  <Paragraphs>202</Paragraphs>
  <ScaleCrop>false</ScaleCrop>
  <HeadingPairs>
    <vt:vector size="2" baseType="variant">
      <vt:variant>
        <vt:lpstr>Title</vt:lpstr>
      </vt:variant>
      <vt:variant>
        <vt:i4>1</vt:i4>
      </vt:variant>
    </vt:vector>
  </HeadingPairs>
  <TitlesOfParts>
    <vt:vector size="1" baseType="lpstr">
      <vt:lpstr>Gendered Military Organizations Women’s Participation and Peacekeeping</vt:lpstr>
    </vt:vector>
  </TitlesOfParts>
  <Manager/>
  <Company/>
  <LinksUpToDate>false</LinksUpToDate>
  <CharactersWithSpaces>72121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Gendered Military Organizations Women’s Participation and Peacekeeping</dc:title>
  <dc:subject>Literature review for Armed Forces and Society manuscript</dc:subject>
  <dc:creator>Rahab Kisio</dc:creator>
  <cp:keywords/>
  <dc:description>generated by python-docx</dc:description>
  <cp:lastModifiedBy>rahab kisio</cp:lastModifiedBy>
  <cp:revision>3</cp:revision>
  <dcterms:created xsi:type="dcterms:W3CDTF">2026-09-19T17:46:00Z</dcterms:created>
  <dcterms:modified xsi:type="dcterms:W3CDTF">2026-09-19T19:15:00Z</dcterms:modified>
  <cp:category/>
</cp:coreProperties>
</file>